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Spec="center" w:tblpY="361"/>
        <w:tblW w:w="4583" w:type="pct"/>
        <w:tblLook w:val="04A0" w:firstRow="1" w:lastRow="0" w:firstColumn="1" w:lastColumn="0" w:noHBand="0" w:noVBand="1"/>
      </w:tblPr>
      <w:tblGrid>
        <w:gridCol w:w="8471"/>
      </w:tblGrid>
      <w:tr w:rsidR="006664DB" w:rsidRPr="00D76A7B" w14:paraId="53372AC8" w14:textId="77777777" w:rsidTr="0005687D">
        <w:trPr>
          <w:trHeight w:val="2880"/>
        </w:trPr>
        <w:tc>
          <w:tcPr>
            <w:tcW w:w="5000" w:type="pct"/>
            <w:hideMark/>
          </w:tcPr>
          <w:p w14:paraId="61B761FE" w14:textId="77777777" w:rsidR="006664DB" w:rsidRPr="00D76A7B" w:rsidRDefault="006664DB" w:rsidP="0005687D">
            <w:pPr>
              <w:spacing w:line="360" w:lineRule="auto"/>
              <w:jc w:val="center"/>
              <w:rPr>
                <w:rFonts w:ascii="Arial" w:eastAsia="Times New Roman" w:hAnsi="Arial" w:cs="Arial"/>
                <w:caps/>
              </w:rPr>
            </w:pPr>
            <w:r w:rsidRPr="00D76A7B">
              <w:rPr>
                <w:rFonts w:ascii="Arial" w:eastAsia="Times New Roman" w:hAnsi="Arial" w:cs="Arial"/>
                <w:caps/>
                <w:noProof/>
                <w:lang w:eastAsia="en-AU"/>
              </w:rPr>
              <w:drawing>
                <wp:inline distT="0" distB="0" distL="0" distR="0" wp14:anchorId="57FBEFDA" wp14:editId="772D5EED">
                  <wp:extent cx="4442460" cy="2103120"/>
                  <wp:effectExtent l="0" t="0" r="0" b="0"/>
                  <wp:docPr id="1" name="Picture 1" descr="Description: unionsnsw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onsnsw_logo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2103120"/>
                          </a:xfrm>
                          <a:prstGeom prst="rect">
                            <a:avLst/>
                          </a:prstGeom>
                          <a:noFill/>
                          <a:ln>
                            <a:noFill/>
                          </a:ln>
                        </pic:spPr>
                      </pic:pic>
                    </a:graphicData>
                  </a:graphic>
                </wp:inline>
              </w:drawing>
            </w:r>
          </w:p>
        </w:tc>
      </w:tr>
      <w:tr w:rsidR="006664DB" w:rsidRPr="00D76A7B" w14:paraId="3F1FF049" w14:textId="77777777" w:rsidTr="006664DB">
        <w:trPr>
          <w:trHeight w:val="4420"/>
        </w:trPr>
        <w:sdt>
          <w:sdtPr>
            <w:rPr>
              <w:rFonts w:ascii="Arial" w:eastAsia="Times New Roman" w:hAnsi="Arial" w:cs="Arial"/>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hideMark/>
              </w:tcPr>
              <w:p w14:paraId="06712EE0" w14:textId="7020F092" w:rsidR="006664DB" w:rsidRPr="00D76A7B" w:rsidRDefault="00014240" w:rsidP="006664DB">
                <w:pPr>
                  <w:spacing w:line="360" w:lineRule="auto"/>
                  <w:jc w:val="center"/>
                  <w:rPr>
                    <w:rFonts w:ascii="Arial" w:eastAsia="Times New Roman" w:hAnsi="Arial" w:cs="Arial"/>
                    <w:b/>
                  </w:rPr>
                </w:pPr>
                <w:r>
                  <w:rPr>
                    <w:rFonts w:ascii="Arial" w:eastAsia="Times New Roman" w:hAnsi="Arial" w:cs="Arial"/>
                    <w:b/>
                    <w:sz w:val="48"/>
                    <w:szCs w:val="48"/>
                  </w:rPr>
                  <w:t>Fair Work Amendment (Registered Organisations) Amendment (Ensuring Integrity) Bill</w:t>
                </w:r>
                <w:r w:rsidR="001C1CB7">
                  <w:rPr>
                    <w:rFonts w:ascii="Arial" w:eastAsia="Times New Roman" w:hAnsi="Arial" w:cs="Arial"/>
                    <w:b/>
                    <w:sz w:val="48"/>
                    <w:szCs w:val="48"/>
                  </w:rPr>
                  <w:t xml:space="preserve"> 2019</w:t>
                </w:r>
              </w:p>
            </w:tc>
          </w:sdtContent>
        </w:sdt>
      </w:tr>
      <w:tr w:rsidR="006664DB" w:rsidRPr="00D76A7B" w14:paraId="30012175" w14:textId="77777777" w:rsidTr="0005687D">
        <w:trPr>
          <w:trHeight w:val="1203"/>
        </w:trPr>
        <w:sdt>
          <w:sdtPr>
            <w:rPr>
              <w:rFonts w:ascii="Arial" w:eastAsia="Times New Roman" w:hAnsi="Arial" w:cs="Arial"/>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hideMark/>
              </w:tcPr>
              <w:p w14:paraId="4752011A" w14:textId="77777777" w:rsidR="006664DB" w:rsidRPr="00D76A7B" w:rsidRDefault="00014240" w:rsidP="006664DB">
                <w:pPr>
                  <w:spacing w:line="360" w:lineRule="auto"/>
                  <w:jc w:val="center"/>
                  <w:rPr>
                    <w:rFonts w:ascii="Arial" w:eastAsia="Times New Roman" w:hAnsi="Arial" w:cs="Arial"/>
                    <w:b/>
                  </w:rPr>
                </w:pPr>
                <w:r>
                  <w:rPr>
                    <w:rFonts w:ascii="Arial" w:eastAsia="Times New Roman" w:hAnsi="Arial" w:cs="Arial"/>
                    <w:b/>
                    <w:sz w:val="28"/>
                    <w:szCs w:val="28"/>
                  </w:rPr>
                  <w:t>Senate Education and Employment Legislation Committee</w:t>
                </w:r>
              </w:p>
            </w:tc>
          </w:sdtContent>
        </w:sdt>
      </w:tr>
      <w:tr w:rsidR="006664DB" w:rsidRPr="00D76A7B" w14:paraId="190731A6" w14:textId="77777777" w:rsidTr="0005687D">
        <w:trPr>
          <w:trHeight w:val="360"/>
        </w:trPr>
        <w:tc>
          <w:tcPr>
            <w:tcW w:w="5000" w:type="pct"/>
            <w:vAlign w:val="center"/>
          </w:tcPr>
          <w:p w14:paraId="366D4545" w14:textId="77777777" w:rsidR="006664DB" w:rsidRPr="00D76A7B" w:rsidRDefault="006664DB" w:rsidP="0005687D">
            <w:pPr>
              <w:spacing w:line="360" w:lineRule="auto"/>
              <w:jc w:val="center"/>
              <w:rPr>
                <w:rFonts w:ascii="Arial" w:eastAsia="Times New Roman" w:hAnsi="Arial" w:cs="Arial"/>
                <w:b/>
                <w:sz w:val="28"/>
                <w:szCs w:val="28"/>
              </w:rPr>
            </w:pPr>
            <w:r w:rsidRPr="00D76A7B">
              <w:rPr>
                <w:rFonts w:ascii="Arial" w:eastAsia="Times New Roman" w:hAnsi="Arial" w:cs="Arial"/>
                <w:b/>
                <w:sz w:val="28"/>
                <w:szCs w:val="28"/>
              </w:rPr>
              <w:t>Submission by Unions NSW</w:t>
            </w:r>
          </w:p>
        </w:tc>
      </w:tr>
      <w:tr w:rsidR="006664DB" w:rsidRPr="00D76A7B" w14:paraId="1297D1C2" w14:textId="77777777" w:rsidTr="0005687D">
        <w:trPr>
          <w:trHeight w:val="360"/>
        </w:trPr>
        <w:tc>
          <w:tcPr>
            <w:tcW w:w="5000" w:type="pct"/>
            <w:vAlign w:val="center"/>
            <w:hideMark/>
          </w:tcPr>
          <w:p w14:paraId="44086F04" w14:textId="77777777" w:rsidR="006664DB" w:rsidRPr="00D76A7B" w:rsidRDefault="006664DB" w:rsidP="0005687D">
            <w:pPr>
              <w:spacing w:line="360" w:lineRule="auto"/>
              <w:jc w:val="center"/>
              <w:rPr>
                <w:rFonts w:ascii="Arial" w:eastAsia="Times New Roman" w:hAnsi="Arial" w:cs="Arial"/>
                <w:b/>
                <w:bCs/>
              </w:rPr>
            </w:pPr>
          </w:p>
        </w:tc>
      </w:tr>
      <w:tr w:rsidR="006664DB" w:rsidRPr="00D76A7B" w14:paraId="4D6EE608" w14:textId="77777777" w:rsidTr="0005687D">
        <w:trPr>
          <w:trHeight w:val="360"/>
        </w:trPr>
        <w:tc>
          <w:tcPr>
            <w:tcW w:w="5000" w:type="pct"/>
            <w:vAlign w:val="center"/>
          </w:tcPr>
          <w:p w14:paraId="6556C921" w14:textId="47CDFE11" w:rsidR="006664DB" w:rsidRPr="00D76A7B" w:rsidRDefault="001C1CB7" w:rsidP="006664DB">
            <w:pPr>
              <w:spacing w:line="360" w:lineRule="auto"/>
              <w:jc w:val="center"/>
              <w:rPr>
                <w:rFonts w:ascii="Arial" w:eastAsia="Times New Roman" w:hAnsi="Arial" w:cs="Arial"/>
                <w:b/>
                <w:bCs/>
              </w:rPr>
            </w:pPr>
            <w:r>
              <w:rPr>
                <w:rFonts w:ascii="Arial" w:eastAsia="Times New Roman" w:hAnsi="Arial" w:cs="Arial"/>
                <w:b/>
                <w:bCs/>
              </w:rPr>
              <w:t>5 August 2019</w:t>
            </w:r>
          </w:p>
        </w:tc>
      </w:tr>
    </w:tbl>
    <w:p w14:paraId="327BA217" w14:textId="77777777" w:rsidR="006664DB" w:rsidRPr="00D76A7B" w:rsidRDefault="006664DB" w:rsidP="006664DB">
      <w:pPr>
        <w:rPr>
          <w:rFonts w:ascii="Arial" w:eastAsia="Calibri" w:hAnsi="Arial" w:cs="Arial"/>
        </w:rPr>
      </w:pPr>
    </w:p>
    <w:p w14:paraId="4C061662" w14:textId="25E8702A" w:rsidR="006664DB" w:rsidRPr="00D76A7B" w:rsidRDefault="006664DB" w:rsidP="006664DB">
      <w:pPr>
        <w:rPr>
          <w:rFonts w:ascii="Arial" w:eastAsia="Calibri" w:hAnsi="Arial" w:cs="Arial"/>
        </w:rPr>
      </w:pPr>
      <w:r w:rsidRPr="00D76A7B">
        <w:rPr>
          <w:rFonts w:ascii="Arial" w:eastAsia="Calibri" w:hAnsi="Arial" w:cs="Arial"/>
        </w:rPr>
        <w:t>Submission by:</w:t>
      </w:r>
      <w:r w:rsidRPr="00D76A7B">
        <w:rPr>
          <w:rFonts w:ascii="Arial" w:eastAsia="Calibri" w:hAnsi="Arial" w:cs="Arial"/>
        </w:rPr>
        <w:br/>
        <w:t>Unions NSW</w:t>
      </w:r>
      <w:r w:rsidR="0080449B">
        <w:rPr>
          <w:rFonts w:ascii="Arial" w:eastAsia="Calibri" w:hAnsi="Arial" w:cs="Arial"/>
        </w:rPr>
        <w:t xml:space="preserve"> </w:t>
      </w:r>
      <w:r w:rsidRPr="00D76A7B">
        <w:rPr>
          <w:rFonts w:ascii="Arial" w:eastAsia="Calibri" w:hAnsi="Arial" w:cs="Arial"/>
        </w:rPr>
        <w:br/>
        <w:t>Trades Hall Building</w:t>
      </w:r>
      <w:r w:rsidRPr="00D76A7B">
        <w:rPr>
          <w:rFonts w:ascii="Arial" w:eastAsia="Calibri" w:hAnsi="Arial" w:cs="Arial"/>
        </w:rPr>
        <w:br/>
        <w:t>Level 3, 4 Goulburn Street</w:t>
      </w:r>
      <w:r w:rsidR="0080449B">
        <w:rPr>
          <w:rFonts w:ascii="Arial" w:eastAsia="Calibri" w:hAnsi="Arial" w:cs="Arial"/>
        </w:rPr>
        <w:t xml:space="preserve"> commemorating </w:t>
      </w:r>
      <w:r w:rsidRPr="00D76A7B">
        <w:rPr>
          <w:rFonts w:ascii="Arial" w:eastAsia="Calibri" w:hAnsi="Arial" w:cs="Arial"/>
        </w:rPr>
        <w:br/>
        <w:t>Sydney</w:t>
      </w:r>
      <w:r w:rsidRPr="00D76A7B">
        <w:rPr>
          <w:rFonts w:ascii="Arial" w:eastAsia="Calibri" w:hAnsi="Arial" w:cs="Arial"/>
        </w:rPr>
        <w:br/>
        <w:t>T: 02 9881 5999</w:t>
      </w:r>
      <w:r w:rsidRPr="00D76A7B">
        <w:rPr>
          <w:rFonts w:ascii="Arial" w:eastAsia="Calibri" w:hAnsi="Arial" w:cs="Arial"/>
        </w:rPr>
        <w:br/>
        <w:t>F: 02 9261 3505</w:t>
      </w:r>
    </w:p>
    <w:p w14:paraId="20959920" w14:textId="77777777" w:rsidR="006664DB" w:rsidRPr="00D76A7B" w:rsidRDefault="006664DB" w:rsidP="00D76A7B">
      <w:pPr>
        <w:spacing w:line="360" w:lineRule="auto"/>
        <w:contextualSpacing/>
        <w:rPr>
          <w:rFonts w:ascii="Arial" w:eastAsia="Calibri" w:hAnsi="Arial" w:cs="Arial"/>
          <w:b/>
          <w:bCs/>
        </w:rPr>
      </w:pPr>
      <w:r w:rsidRPr="00D76A7B">
        <w:rPr>
          <w:rFonts w:ascii="Arial" w:hAnsi="Arial" w:cs="Arial"/>
          <w:b/>
          <w:sz w:val="32"/>
          <w:szCs w:val="32"/>
        </w:rPr>
        <w:lastRenderedPageBreak/>
        <w:t>Introduction</w:t>
      </w:r>
    </w:p>
    <w:p w14:paraId="26202D34" w14:textId="77777777" w:rsidR="002B1F47" w:rsidRPr="000D088D" w:rsidRDefault="006664DB" w:rsidP="002B1F47">
      <w:pPr>
        <w:pStyle w:val="ListParagraph"/>
        <w:numPr>
          <w:ilvl w:val="0"/>
          <w:numId w:val="5"/>
        </w:numPr>
        <w:spacing w:line="360" w:lineRule="auto"/>
        <w:rPr>
          <w:rFonts w:ascii="Arial" w:hAnsi="Arial" w:cs="Arial"/>
        </w:rPr>
      </w:pPr>
      <w:r w:rsidRPr="000D088D">
        <w:rPr>
          <w:rFonts w:ascii="Arial" w:hAnsi="Arial" w:cs="Arial"/>
        </w:rPr>
        <w:t>Unions NSW is the peak body for trade unions and union members in NSW and has over 65 affiliated unions and Trades and Labour Councils representing approximately 600,000 workers across the State. Affiliated unions cover the spectrum of the workforce in both the public and private sector.</w:t>
      </w:r>
      <w:r w:rsidR="001373E1" w:rsidRPr="000D088D">
        <w:rPr>
          <w:rFonts w:ascii="Arial" w:hAnsi="Arial" w:cs="Arial"/>
        </w:rPr>
        <w:br/>
      </w:r>
    </w:p>
    <w:p w14:paraId="3B72EFCB" w14:textId="4620EEA3" w:rsidR="007541CD" w:rsidRDefault="002B1F47" w:rsidP="000D088D">
      <w:pPr>
        <w:pStyle w:val="ListParagraph"/>
        <w:numPr>
          <w:ilvl w:val="0"/>
          <w:numId w:val="5"/>
        </w:numPr>
        <w:spacing w:line="360" w:lineRule="auto"/>
        <w:rPr>
          <w:rFonts w:ascii="Arial" w:hAnsi="Arial" w:cs="Arial"/>
        </w:rPr>
      </w:pPr>
      <w:r>
        <w:rPr>
          <w:rFonts w:ascii="Arial" w:hAnsi="Arial" w:cs="Arial"/>
        </w:rPr>
        <w:t xml:space="preserve">The </w:t>
      </w:r>
      <w:r w:rsidRPr="00CA3CE6">
        <w:rPr>
          <w:rFonts w:ascii="Arial" w:hAnsi="Arial" w:cs="Arial"/>
        </w:rPr>
        <w:t>Fair Work (Registered Organisations) Amendment (Ensuring Integrity) Bill 201</w:t>
      </w:r>
      <w:r w:rsidR="001C1CB7" w:rsidRPr="00CA3CE6">
        <w:rPr>
          <w:rFonts w:ascii="Arial" w:hAnsi="Arial" w:cs="Arial"/>
        </w:rPr>
        <w:t>9</w:t>
      </w:r>
      <w:r w:rsidRPr="00CA3CE6">
        <w:rPr>
          <w:rFonts w:ascii="Arial" w:hAnsi="Arial" w:cs="Arial"/>
        </w:rPr>
        <w:t xml:space="preserve"> (</w:t>
      </w:r>
      <w:proofErr w:type="spellStart"/>
      <w:r w:rsidRPr="00CA3CE6">
        <w:rPr>
          <w:rFonts w:ascii="Arial" w:hAnsi="Arial" w:cs="Arial"/>
        </w:rPr>
        <w:t>Cth</w:t>
      </w:r>
      <w:proofErr w:type="spellEnd"/>
      <w:r w:rsidRPr="00CA3CE6">
        <w:rPr>
          <w:rFonts w:ascii="Arial" w:hAnsi="Arial" w:cs="Arial"/>
        </w:rPr>
        <w:t>)</w:t>
      </w:r>
      <w:r>
        <w:rPr>
          <w:rFonts w:ascii="Arial" w:hAnsi="Arial" w:cs="Arial"/>
        </w:rPr>
        <w:t xml:space="preserve"> (</w:t>
      </w:r>
      <w:r w:rsidRPr="00DD252E">
        <w:rPr>
          <w:rFonts w:ascii="Arial" w:hAnsi="Arial" w:cs="Arial"/>
          <w:b/>
        </w:rPr>
        <w:t>the Bill</w:t>
      </w:r>
      <w:r>
        <w:rPr>
          <w:rFonts w:ascii="Arial" w:hAnsi="Arial" w:cs="Arial"/>
        </w:rPr>
        <w:t>)</w:t>
      </w:r>
      <w:r w:rsidR="0012542F">
        <w:rPr>
          <w:rStyle w:val="FootnoteReference"/>
          <w:rFonts w:ascii="Arial" w:hAnsi="Arial" w:cs="Arial"/>
        </w:rPr>
        <w:footnoteReference w:id="1"/>
      </w:r>
      <w:r>
        <w:rPr>
          <w:rFonts w:ascii="Arial" w:hAnsi="Arial" w:cs="Arial"/>
        </w:rPr>
        <w:t xml:space="preserve">, </w:t>
      </w:r>
      <w:r w:rsidR="006E5955">
        <w:rPr>
          <w:rFonts w:ascii="Arial" w:hAnsi="Arial" w:cs="Arial"/>
        </w:rPr>
        <w:t>provides excessive</w:t>
      </w:r>
      <w:r w:rsidR="00922DFF">
        <w:rPr>
          <w:rFonts w:ascii="Arial" w:hAnsi="Arial" w:cs="Arial"/>
        </w:rPr>
        <w:t xml:space="preserve"> and unnecessary external</w:t>
      </w:r>
      <w:r w:rsidR="006E5955">
        <w:rPr>
          <w:rFonts w:ascii="Arial" w:hAnsi="Arial" w:cs="Arial"/>
        </w:rPr>
        <w:t xml:space="preserve"> oversight of the leadership, staffing and internal operation</w:t>
      </w:r>
      <w:r w:rsidR="00DD252E">
        <w:rPr>
          <w:rFonts w:ascii="Arial" w:hAnsi="Arial" w:cs="Arial"/>
        </w:rPr>
        <w:t>s of registered trade unions. It</w:t>
      </w:r>
      <w:r w:rsidR="006E5955">
        <w:rPr>
          <w:rFonts w:ascii="Arial" w:hAnsi="Arial" w:cs="Arial"/>
        </w:rPr>
        <w:t xml:space="preserve"> c</w:t>
      </w:r>
      <w:r w:rsidR="007541CD">
        <w:rPr>
          <w:rFonts w:ascii="Arial" w:hAnsi="Arial" w:cs="Arial"/>
        </w:rPr>
        <w:t xml:space="preserve">onfers significant power to the Minister, </w:t>
      </w:r>
      <w:r w:rsidR="006E5955">
        <w:rPr>
          <w:rFonts w:ascii="Arial" w:hAnsi="Arial" w:cs="Arial"/>
        </w:rPr>
        <w:t>employers</w:t>
      </w:r>
      <w:r w:rsidR="007541CD">
        <w:rPr>
          <w:rFonts w:ascii="Arial" w:hAnsi="Arial" w:cs="Arial"/>
        </w:rPr>
        <w:t xml:space="preserve"> and broader corporate interests</w:t>
      </w:r>
      <w:r w:rsidR="00DD252E">
        <w:rPr>
          <w:rFonts w:ascii="Arial" w:hAnsi="Arial" w:cs="Arial"/>
        </w:rPr>
        <w:t xml:space="preserve"> to interfere with the</w:t>
      </w:r>
      <w:r w:rsidR="006E5955">
        <w:rPr>
          <w:rFonts w:ascii="Arial" w:hAnsi="Arial" w:cs="Arial"/>
        </w:rPr>
        <w:t xml:space="preserve"> democratic </w:t>
      </w:r>
      <w:r w:rsidR="00DD252E">
        <w:rPr>
          <w:rFonts w:ascii="Arial" w:hAnsi="Arial" w:cs="Arial"/>
        </w:rPr>
        <w:t>operation</w:t>
      </w:r>
      <w:r w:rsidR="000D088D">
        <w:rPr>
          <w:rFonts w:ascii="Arial" w:hAnsi="Arial" w:cs="Arial"/>
        </w:rPr>
        <w:t xml:space="preserve"> of trade unions</w:t>
      </w:r>
      <w:r w:rsidR="006E5955">
        <w:rPr>
          <w:rFonts w:ascii="Arial" w:hAnsi="Arial" w:cs="Arial"/>
        </w:rPr>
        <w:t>.</w:t>
      </w:r>
    </w:p>
    <w:p w14:paraId="436618A9" w14:textId="77777777" w:rsidR="000D088D" w:rsidRPr="000D088D" w:rsidRDefault="000D088D" w:rsidP="000D088D">
      <w:pPr>
        <w:pStyle w:val="ListParagraph"/>
        <w:rPr>
          <w:rFonts w:ascii="Arial" w:hAnsi="Arial" w:cs="Arial"/>
        </w:rPr>
      </w:pPr>
    </w:p>
    <w:p w14:paraId="3ECCE409" w14:textId="67BF49DF" w:rsidR="000D088D" w:rsidRDefault="000D088D" w:rsidP="000D088D">
      <w:pPr>
        <w:pStyle w:val="ListParagraph"/>
        <w:numPr>
          <w:ilvl w:val="0"/>
          <w:numId w:val="5"/>
        </w:numPr>
        <w:spacing w:line="360" w:lineRule="auto"/>
        <w:rPr>
          <w:rFonts w:ascii="Arial" w:hAnsi="Arial" w:cs="Arial"/>
        </w:rPr>
      </w:pPr>
      <w:r>
        <w:rPr>
          <w:rFonts w:ascii="Arial" w:hAnsi="Arial" w:cs="Arial"/>
        </w:rPr>
        <w:t xml:space="preserve">The legislation is </w:t>
      </w:r>
      <w:r w:rsidR="00DD252E">
        <w:rPr>
          <w:rFonts w:ascii="Arial" w:hAnsi="Arial" w:cs="Arial"/>
        </w:rPr>
        <w:t>unnecessary; the Government has</w:t>
      </w:r>
      <w:r>
        <w:rPr>
          <w:rFonts w:ascii="Arial" w:hAnsi="Arial" w:cs="Arial"/>
        </w:rPr>
        <w:t xml:space="preserve"> </w:t>
      </w:r>
      <w:r w:rsidR="00DD252E">
        <w:rPr>
          <w:rFonts w:ascii="Arial" w:hAnsi="Arial" w:cs="Arial"/>
        </w:rPr>
        <w:t xml:space="preserve">not justified </w:t>
      </w:r>
      <w:r>
        <w:rPr>
          <w:rFonts w:ascii="Arial" w:hAnsi="Arial" w:cs="Arial"/>
        </w:rPr>
        <w:t>the wide sweeping changes. The ‘integrity’ the Bill seeks to ensure is already c</w:t>
      </w:r>
      <w:r w:rsidR="00922DFF">
        <w:rPr>
          <w:rFonts w:ascii="Arial" w:hAnsi="Arial" w:cs="Arial"/>
        </w:rPr>
        <w:t>aptured by existing legislation, including</w:t>
      </w:r>
      <w:r>
        <w:rPr>
          <w:rFonts w:ascii="Arial" w:hAnsi="Arial" w:cs="Arial"/>
        </w:rPr>
        <w:t xml:space="preserve"> the </w:t>
      </w:r>
      <w:r w:rsidRPr="00DD252E">
        <w:rPr>
          <w:rFonts w:ascii="Arial" w:hAnsi="Arial" w:cs="Arial"/>
          <w:i/>
        </w:rPr>
        <w:t>Fair Work Act</w:t>
      </w:r>
      <w:r w:rsidR="00CA3CE6">
        <w:rPr>
          <w:rFonts w:ascii="Arial" w:hAnsi="Arial" w:cs="Arial"/>
          <w:i/>
        </w:rPr>
        <w:t xml:space="preserve"> </w:t>
      </w:r>
      <w:r w:rsidR="00CA3CE6" w:rsidRPr="00CA3CE6">
        <w:rPr>
          <w:rFonts w:ascii="Arial" w:hAnsi="Arial" w:cs="Arial"/>
        </w:rPr>
        <w:t>2009</w:t>
      </w:r>
      <w:r>
        <w:rPr>
          <w:rFonts w:ascii="Arial" w:hAnsi="Arial" w:cs="Arial"/>
        </w:rPr>
        <w:t xml:space="preserve">, the </w:t>
      </w:r>
      <w:r w:rsidR="00CA3CE6">
        <w:rPr>
          <w:rFonts w:ascii="Arial" w:hAnsi="Arial" w:cs="Arial"/>
          <w:i/>
        </w:rPr>
        <w:t>Fair Work (</w:t>
      </w:r>
      <w:r w:rsidRPr="00DD252E">
        <w:rPr>
          <w:rFonts w:ascii="Arial" w:hAnsi="Arial" w:cs="Arial"/>
          <w:i/>
        </w:rPr>
        <w:t>R</w:t>
      </w:r>
      <w:r w:rsidR="00922DFF" w:rsidRPr="00DD252E">
        <w:rPr>
          <w:rFonts w:ascii="Arial" w:hAnsi="Arial" w:cs="Arial"/>
          <w:i/>
        </w:rPr>
        <w:t>egistered Organisations</w:t>
      </w:r>
      <w:r w:rsidR="00CA3CE6">
        <w:rPr>
          <w:rFonts w:ascii="Arial" w:hAnsi="Arial" w:cs="Arial"/>
          <w:i/>
        </w:rPr>
        <w:t>)</w:t>
      </w:r>
      <w:r w:rsidR="00922DFF" w:rsidRPr="00DD252E">
        <w:rPr>
          <w:rFonts w:ascii="Arial" w:hAnsi="Arial" w:cs="Arial"/>
          <w:i/>
        </w:rPr>
        <w:t xml:space="preserve"> Act</w:t>
      </w:r>
      <w:r w:rsidR="00CA3CE6">
        <w:rPr>
          <w:rFonts w:ascii="Arial" w:hAnsi="Arial" w:cs="Arial"/>
          <w:i/>
        </w:rPr>
        <w:t xml:space="preserve"> </w:t>
      </w:r>
      <w:r w:rsidR="00CA3CE6" w:rsidRPr="00CA3CE6">
        <w:rPr>
          <w:rFonts w:ascii="Arial" w:hAnsi="Arial" w:cs="Arial"/>
        </w:rPr>
        <w:t>2009</w:t>
      </w:r>
      <w:r w:rsidR="00922DFF">
        <w:rPr>
          <w:rFonts w:ascii="Arial" w:hAnsi="Arial" w:cs="Arial"/>
        </w:rPr>
        <w:t xml:space="preserve"> as well as </w:t>
      </w:r>
      <w:r>
        <w:rPr>
          <w:rFonts w:ascii="Arial" w:hAnsi="Arial" w:cs="Arial"/>
        </w:rPr>
        <w:t xml:space="preserve">internal union rules and democratic processes.  </w:t>
      </w:r>
    </w:p>
    <w:p w14:paraId="5166EDBC" w14:textId="77777777" w:rsidR="001C1CB7" w:rsidRPr="001C1CB7" w:rsidRDefault="001C1CB7" w:rsidP="001C1CB7">
      <w:pPr>
        <w:pStyle w:val="ListParagraph"/>
        <w:rPr>
          <w:rFonts w:ascii="Arial" w:hAnsi="Arial" w:cs="Arial"/>
        </w:rPr>
      </w:pPr>
    </w:p>
    <w:p w14:paraId="706442E3" w14:textId="6DEAAF2E" w:rsidR="001C1CB7" w:rsidRDefault="001C1CB7" w:rsidP="000D088D">
      <w:pPr>
        <w:pStyle w:val="ListParagraph"/>
        <w:numPr>
          <w:ilvl w:val="0"/>
          <w:numId w:val="5"/>
        </w:numPr>
        <w:spacing w:line="360" w:lineRule="auto"/>
        <w:rPr>
          <w:rFonts w:ascii="Arial" w:hAnsi="Arial" w:cs="Arial"/>
        </w:rPr>
      </w:pPr>
      <w:r>
        <w:rPr>
          <w:rFonts w:ascii="Arial" w:hAnsi="Arial" w:cs="Arial"/>
        </w:rPr>
        <w:t xml:space="preserve">In 2017 Unions NSW made a submission opposing the </w:t>
      </w:r>
      <w:r w:rsidRPr="00CA3CE6">
        <w:rPr>
          <w:rFonts w:ascii="Arial" w:hAnsi="Arial" w:cs="Arial"/>
        </w:rPr>
        <w:t xml:space="preserve">Fair Work (Registered Organisations) Amendment (Ensuring Integrity) Bill </w:t>
      </w:r>
      <w:r>
        <w:rPr>
          <w:rFonts w:ascii="Arial" w:hAnsi="Arial" w:cs="Arial"/>
          <w:i/>
        </w:rPr>
        <w:t>2017</w:t>
      </w:r>
      <w:r>
        <w:rPr>
          <w:rFonts w:ascii="Arial" w:hAnsi="Arial" w:cs="Arial"/>
        </w:rPr>
        <w:t xml:space="preserve">. The 2017 bill did not receive the support of the Parliament. The Government has made cosmetic and minor changes to the 2017 </w:t>
      </w:r>
      <w:r w:rsidR="00CA3CE6">
        <w:rPr>
          <w:rFonts w:ascii="Arial" w:hAnsi="Arial" w:cs="Arial"/>
        </w:rPr>
        <w:t>b</w:t>
      </w:r>
      <w:r>
        <w:rPr>
          <w:rFonts w:ascii="Arial" w:hAnsi="Arial" w:cs="Arial"/>
        </w:rPr>
        <w:t xml:space="preserve">ill and has presented it to the Parliament. The 2019 Bill remains a significant threat to the operation of trade unions and hampers their ability to effectively represent their members. </w:t>
      </w:r>
    </w:p>
    <w:p w14:paraId="38B27943" w14:textId="77777777" w:rsidR="003D4B1B" w:rsidRPr="003D4B1B" w:rsidRDefault="003D4B1B" w:rsidP="003D4B1B">
      <w:pPr>
        <w:pStyle w:val="ListParagraph"/>
        <w:rPr>
          <w:rFonts w:ascii="Arial" w:hAnsi="Arial" w:cs="Arial"/>
        </w:rPr>
      </w:pPr>
    </w:p>
    <w:p w14:paraId="482B1ADD" w14:textId="27DA6D7C" w:rsidR="003D4B1B" w:rsidRPr="000D088D" w:rsidRDefault="003D4B1B" w:rsidP="000D088D">
      <w:pPr>
        <w:pStyle w:val="ListParagraph"/>
        <w:numPr>
          <w:ilvl w:val="0"/>
          <w:numId w:val="5"/>
        </w:numPr>
        <w:spacing w:line="360" w:lineRule="auto"/>
        <w:rPr>
          <w:rFonts w:ascii="Arial" w:hAnsi="Arial" w:cs="Arial"/>
        </w:rPr>
      </w:pPr>
      <w:r>
        <w:rPr>
          <w:rFonts w:ascii="Arial" w:hAnsi="Arial" w:cs="Arial"/>
        </w:rPr>
        <w:t xml:space="preserve">Unions NSW asks the Senate Committee to recommend the rejection of the Bill in its entirety. </w:t>
      </w:r>
    </w:p>
    <w:p w14:paraId="55550289" w14:textId="77777777" w:rsidR="00614AE0" w:rsidRPr="00614AE0" w:rsidRDefault="00614AE0" w:rsidP="00614AE0">
      <w:pPr>
        <w:pStyle w:val="ListParagraph"/>
        <w:spacing w:line="360" w:lineRule="auto"/>
        <w:rPr>
          <w:rFonts w:ascii="Arial" w:hAnsi="Arial" w:cs="Arial"/>
        </w:rPr>
      </w:pPr>
    </w:p>
    <w:p w14:paraId="394F36BC" w14:textId="612F51BB" w:rsidR="000D088D" w:rsidRDefault="000D088D" w:rsidP="000D088D">
      <w:pPr>
        <w:pStyle w:val="ListParagraph"/>
        <w:numPr>
          <w:ilvl w:val="0"/>
          <w:numId w:val="5"/>
        </w:numPr>
        <w:spacing w:line="360" w:lineRule="auto"/>
        <w:rPr>
          <w:rFonts w:ascii="Arial" w:hAnsi="Arial" w:cs="Arial"/>
        </w:rPr>
      </w:pPr>
      <w:r w:rsidRPr="00614AE0">
        <w:rPr>
          <w:rFonts w:ascii="Arial" w:hAnsi="Arial" w:cs="Arial"/>
        </w:rPr>
        <w:t xml:space="preserve">Unions NSW supports the submissions made by the Australian Council of Trade Unions and </w:t>
      </w:r>
      <w:r w:rsidR="001C1CB7">
        <w:rPr>
          <w:rFonts w:ascii="Arial" w:hAnsi="Arial" w:cs="Arial"/>
        </w:rPr>
        <w:t xml:space="preserve">other unions to this inquiry. </w:t>
      </w:r>
      <w:r>
        <w:rPr>
          <w:rFonts w:ascii="Arial" w:hAnsi="Arial" w:cs="Arial"/>
        </w:rPr>
        <w:t xml:space="preserve"> </w:t>
      </w:r>
    </w:p>
    <w:p w14:paraId="2EF39287" w14:textId="77777777" w:rsidR="00B63217" w:rsidRPr="00B63217" w:rsidRDefault="00B63217" w:rsidP="00B63217">
      <w:pPr>
        <w:pStyle w:val="ListParagraph"/>
        <w:rPr>
          <w:rFonts w:ascii="Arial" w:hAnsi="Arial" w:cs="Arial"/>
        </w:rPr>
      </w:pPr>
    </w:p>
    <w:p w14:paraId="514922C7" w14:textId="0F6BBD36" w:rsidR="007541CD" w:rsidRDefault="007541CD" w:rsidP="007541CD">
      <w:pPr>
        <w:spacing w:line="360" w:lineRule="auto"/>
        <w:rPr>
          <w:rFonts w:ascii="Arial" w:eastAsia="Calibri" w:hAnsi="Arial" w:cs="Arial"/>
          <w:b/>
          <w:bCs/>
          <w:sz w:val="32"/>
          <w:szCs w:val="32"/>
        </w:rPr>
      </w:pPr>
      <w:r>
        <w:rPr>
          <w:rFonts w:ascii="Arial" w:eastAsia="Calibri" w:hAnsi="Arial" w:cs="Arial"/>
          <w:b/>
          <w:bCs/>
          <w:sz w:val="32"/>
          <w:szCs w:val="32"/>
        </w:rPr>
        <w:t xml:space="preserve">Schedule One </w:t>
      </w:r>
      <w:r w:rsidR="003D4B1B">
        <w:rPr>
          <w:rFonts w:ascii="Arial" w:eastAsia="Calibri" w:hAnsi="Arial" w:cs="Arial"/>
          <w:b/>
          <w:bCs/>
          <w:sz w:val="32"/>
          <w:szCs w:val="32"/>
        </w:rPr>
        <w:t xml:space="preserve">– Disqualification </w:t>
      </w:r>
      <w:r w:rsidR="00163778">
        <w:rPr>
          <w:rFonts w:ascii="Arial" w:eastAsia="Calibri" w:hAnsi="Arial" w:cs="Arial"/>
          <w:b/>
          <w:bCs/>
          <w:sz w:val="32"/>
          <w:szCs w:val="32"/>
        </w:rPr>
        <w:t xml:space="preserve">from office </w:t>
      </w:r>
    </w:p>
    <w:p w14:paraId="779BB9A9" w14:textId="2AD52072" w:rsidR="00A27EBE" w:rsidRDefault="004C4646" w:rsidP="00A75589">
      <w:pPr>
        <w:pStyle w:val="ListParagraph"/>
        <w:numPr>
          <w:ilvl w:val="0"/>
          <w:numId w:val="5"/>
        </w:numPr>
        <w:spacing w:line="360" w:lineRule="auto"/>
        <w:rPr>
          <w:rFonts w:ascii="Arial" w:eastAsia="Calibri" w:hAnsi="Arial" w:cs="Arial"/>
          <w:bCs/>
        </w:rPr>
      </w:pPr>
      <w:r>
        <w:rPr>
          <w:rFonts w:ascii="Arial" w:eastAsia="Calibri" w:hAnsi="Arial" w:cs="Arial"/>
          <w:bCs/>
        </w:rPr>
        <w:t>Schedule O</w:t>
      </w:r>
      <w:r w:rsidR="00A75589" w:rsidRPr="00A75589">
        <w:rPr>
          <w:rFonts w:ascii="Arial" w:eastAsia="Calibri" w:hAnsi="Arial" w:cs="Arial"/>
          <w:bCs/>
        </w:rPr>
        <w:t xml:space="preserve">ne of the Bill looks specifically at the disqualification of individuals holding office in a registered organisation. </w:t>
      </w:r>
    </w:p>
    <w:p w14:paraId="7DC80F0C" w14:textId="2E21D342" w:rsidR="00A75589" w:rsidRPr="00A75589" w:rsidRDefault="00CB2B1F" w:rsidP="00A75589">
      <w:pPr>
        <w:pStyle w:val="ListParagraph"/>
        <w:numPr>
          <w:ilvl w:val="0"/>
          <w:numId w:val="5"/>
        </w:numPr>
        <w:spacing w:line="360" w:lineRule="auto"/>
        <w:rPr>
          <w:rFonts w:ascii="Arial" w:eastAsia="Calibri" w:hAnsi="Arial" w:cs="Arial"/>
          <w:bCs/>
        </w:rPr>
      </w:pPr>
      <w:r w:rsidRPr="00A75589">
        <w:rPr>
          <w:rFonts w:ascii="Arial" w:eastAsia="Calibri" w:hAnsi="Arial" w:cs="Arial"/>
          <w:bCs/>
        </w:rPr>
        <w:lastRenderedPageBreak/>
        <w:t>The Bill’</w:t>
      </w:r>
      <w:r>
        <w:rPr>
          <w:rFonts w:ascii="Arial" w:eastAsia="Calibri" w:hAnsi="Arial" w:cs="Arial"/>
          <w:bCs/>
        </w:rPr>
        <w:t>s amendments expand the grounds for automatic disqualification</w:t>
      </w:r>
      <w:r>
        <w:rPr>
          <w:rFonts w:ascii="Arial" w:eastAsia="Calibri" w:hAnsi="Arial" w:cs="Arial"/>
          <w:bCs/>
        </w:rPr>
        <w:t xml:space="preserve">. </w:t>
      </w:r>
      <w:r w:rsidR="00A75589">
        <w:rPr>
          <w:rFonts w:ascii="Arial" w:eastAsia="Calibri" w:hAnsi="Arial" w:cs="Arial"/>
          <w:bCs/>
        </w:rPr>
        <w:t xml:space="preserve">The Bill </w:t>
      </w:r>
      <w:r w:rsidR="00D037DE">
        <w:rPr>
          <w:rFonts w:ascii="Arial" w:eastAsia="Calibri" w:hAnsi="Arial" w:cs="Arial"/>
          <w:bCs/>
        </w:rPr>
        <w:t>also provides the Federal Court with the power to make disqualification orders against a union off</w:t>
      </w:r>
      <w:r w:rsidR="00922DFF">
        <w:rPr>
          <w:rFonts w:ascii="Arial" w:eastAsia="Calibri" w:hAnsi="Arial" w:cs="Arial"/>
          <w:bCs/>
        </w:rPr>
        <w:t>icial</w:t>
      </w:r>
      <w:r w:rsidR="00D037DE">
        <w:rPr>
          <w:rFonts w:ascii="Arial" w:eastAsia="Calibri" w:hAnsi="Arial" w:cs="Arial"/>
          <w:bCs/>
        </w:rPr>
        <w:t xml:space="preserve"> following an application from the Minister, the Commissioner or a person with a </w:t>
      </w:r>
      <w:proofErr w:type="gramStart"/>
      <w:r w:rsidR="00D037DE">
        <w:rPr>
          <w:rFonts w:ascii="Arial" w:eastAsia="Calibri" w:hAnsi="Arial" w:cs="Arial"/>
          <w:bCs/>
        </w:rPr>
        <w:t>sufficient</w:t>
      </w:r>
      <w:proofErr w:type="gramEnd"/>
      <w:r w:rsidR="00D037DE">
        <w:rPr>
          <w:rFonts w:ascii="Arial" w:eastAsia="Calibri" w:hAnsi="Arial" w:cs="Arial"/>
          <w:bCs/>
        </w:rPr>
        <w:t xml:space="preserve"> interest.</w:t>
      </w:r>
      <w:r w:rsidR="00A27EBE">
        <w:rPr>
          <w:rFonts w:ascii="Arial" w:eastAsia="Calibri" w:hAnsi="Arial" w:cs="Arial"/>
          <w:bCs/>
        </w:rPr>
        <w:t xml:space="preserve"> A person of </w:t>
      </w:r>
      <w:proofErr w:type="gramStart"/>
      <w:r w:rsidR="00A27EBE">
        <w:rPr>
          <w:rFonts w:ascii="Arial" w:eastAsia="Calibri" w:hAnsi="Arial" w:cs="Arial"/>
          <w:bCs/>
        </w:rPr>
        <w:t>sufficient</w:t>
      </w:r>
      <w:proofErr w:type="gramEnd"/>
      <w:r w:rsidR="00A27EBE">
        <w:rPr>
          <w:rFonts w:ascii="Arial" w:eastAsia="Calibri" w:hAnsi="Arial" w:cs="Arial"/>
          <w:bCs/>
        </w:rPr>
        <w:t xml:space="preserve"> interest may include an employer or political opponent.</w:t>
      </w:r>
      <w:r w:rsidR="00D037DE">
        <w:rPr>
          <w:rFonts w:ascii="Arial" w:eastAsia="Calibri" w:hAnsi="Arial" w:cs="Arial"/>
          <w:bCs/>
        </w:rPr>
        <w:t xml:space="preserve"> Applications can be based on six grounds</w:t>
      </w:r>
      <w:r w:rsidR="0036667E">
        <w:rPr>
          <w:rFonts w:ascii="Arial" w:eastAsia="Calibri" w:hAnsi="Arial" w:cs="Arial"/>
          <w:bCs/>
        </w:rPr>
        <w:t>. If the</w:t>
      </w:r>
      <w:r w:rsidR="00644261">
        <w:rPr>
          <w:rFonts w:ascii="Arial" w:eastAsia="Calibri" w:hAnsi="Arial" w:cs="Arial"/>
          <w:bCs/>
        </w:rPr>
        <w:t xml:space="preserve"> grounds are met, the Court must</w:t>
      </w:r>
      <w:r w:rsidR="0036667E">
        <w:rPr>
          <w:rFonts w:ascii="Arial" w:eastAsia="Calibri" w:hAnsi="Arial" w:cs="Arial"/>
          <w:bCs/>
        </w:rPr>
        <w:t xml:space="preserve"> make </w:t>
      </w:r>
      <w:r w:rsidR="00922DFF">
        <w:rPr>
          <w:rFonts w:ascii="Arial" w:eastAsia="Calibri" w:hAnsi="Arial" w:cs="Arial"/>
          <w:bCs/>
        </w:rPr>
        <w:t xml:space="preserve">a </w:t>
      </w:r>
      <w:r w:rsidR="0036667E">
        <w:rPr>
          <w:rFonts w:ascii="Arial" w:eastAsia="Calibri" w:hAnsi="Arial" w:cs="Arial"/>
          <w:bCs/>
        </w:rPr>
        <w:t xml:space="preserve">disqualification order unless they consider the making of such </w:t>
      </w:r>
      <w:r w:rsidR="00DD252E">
        <w:rPr>
          <w:rFonts w:ascii="Arial" w:eastAsia="Calibri" w:hAnsi="Arial" w:cs="Arial"/>
          <w:bCs/>
        </w:rPr>
        <w:t xml:space="preserve">an </w:t>
      </w:r>
      <w:r w:rsidR="0036667E">
        <w:rPr>
          <w:rFonts w:ascii="Arial" w:eastAsia="Calibri" w:hAnsi="Arial" w:cs="Arial"/>
          <w:bCs/>
        </w:rPr>
        <w:t>order would be unjust</w:t>
      </w:r>
      <w:r w:rsidR="0036667E">
        <w:rPr>
          <w:rStyle w:val="FootnoteReference"/>
          <w:rFonts w:ascii="Arial" w:eastAsia="Calibri" w:hAnsi="Arial" w:cs="Arial"/>
          <w:bCs/>
        </w:rPr>
        <w:footnoteReference w:id="2"/>
      </w:r>
      <w:r w:rsidR="0036667E">
        <w:rPr>
          <w:rFonts w:ascii="Arial" w:eastAsia="Calibri" w:hAnsi="Arial" w:cs="Arial"/>
          <w:bCs/>
        </w:rPr>
        <w:t xml:space="preserve">. </w:t>
      </w:r>
      <w:r w:rsidR="00D037DE">
        <w:rPr>
          <w:rFonts w:ascii="Arial" w:eastAsia="Calibri" w:hAnsi="Arial" w:cs="Arial"/>
          <w:bCs/>
        </w:rPr>
        <w:t xml:space="preserve">  </w:t>
      </w:r>
      <w:r w:rsidR="00A75589">
        <w:rPr>
          <w:rFonts w:ascii="Arial" w:eastAsia="Calibri" w:hAnsi="Arial" w:cs="Arial"/>
          <w:bCs/>
        </w:rPr>
        <w:t xml:space="preserve"> </w:t>
      </w:r>
    </w:p>
    <w:p w14:paraId="0425DB73" w14:textId="60AA6A9F" w:rsidR="00CA3CE6" w:rsidRDefault="00CA3CE6" w:rsidP="007541CD">
      <w:pPr>
        <w:spacing w:line="360" w:lineRule="auto"/>
        <w:rPr>
          <w:rFonts w:ascii="Arial" w:eastAsia="Calibri" w:hAnsi="Arial" w:cs="Arial"/>
          <w:bCs/>
          <w:u w:val="single"/>
        </w:rPr>
      </w:pPr>
      <w:r>
        <w:rPr>
          <w:rFonts w:ascii="Arial" w:eastAsia="Calibri" w:hAnsi="Arial" w:cs="Arial"/>
          <w:bCs/>
          <w:u w:val="single"/>
        </w:rPr>
        <w:t>Automatic disqualification</w:t>
      </w:r>
    </w:p>
    <w:p w14:paraId="04C92E68" w14:textId="48BE96F1" w:rsidR="00CB2B1F" w:rsidRPr="00CB2B1F" w:rsidRDefault="00CB2B1F" w:rsidP="00CB2B1F">
      <w:pPr>
        <w:pStyle w:val="ListParagraph"/>
        <w:numPr>
          <w:ilvl w:val="0"/>
          <w:numId w:val="5"/>
        </w:numPr>
        <w:spacing w:line="360" w:lineRule="auto"/>
        <w:rPr>
          <w:rFonts w:ascii="Arial" w:eastAsia="Calibri" w:hAnsi="Arial" w:cs="Arial"/>
          <w:bCs/>
          <w:u w:val="single"/>
        </w:rPr>
      </w:pPr>
      <w:r>
        <w:rPr>
          <w:rFonts w:ascii="Arial" w:eastAsia="Calibri" w:hAnsi="Arial" w:cs="Arial"/>
          <w:bCs/>
        </w:rPr>
        <w:t>Th</w:t>
      </w:r>
      <w:r w:rsidRPr="00A75589">
        <w:rPr>
          <w:rFonts w:ascii="Arial" w:eastAsia="Calibri" w:hAnsi="Arial" w:cs="Arial"/>
          <w:bCs/>
        </w:rPr>
        <w:t>e existing legislation provides limited circumstances under which a person can be automatically disqualified. The Bill’</w:t>
      </w:r>
      <w:r>
        <w:rPr>
          <w:rFonts w:ascii="Arial" w:eastAsia="Calibri" w:hAnsi="Arial" w:cs="Arial"/>
          <w:bCs/>
        </w:rPr>
        <w:t>s amendments expand the grounds for automatic disqualification to include a conviction for an offence punishable on conviction by imprisonment for five years of more</w:t>
      </w:r>
      <w:r>
        <w:rPr>
          <w:rStyle w:val="FootnoteReference"/>
          <w:rFonts w:ascii="Arial" w:eastAsia="Calibri" w:hAnsi="Arial" w:cs="Arial"/>
          <w:bCs/>
        </w:rPr>
        <w:footnoteReference w:id="3"/>
      </w:r>
      <w:r>
        <w:rPr>
          <w:rFonts w:ascii="Arial" w:eastAsia="Calibri" w:hAnsi="Arial" w:cs="Arial"/>
          <w:bCs/>
        </w:rPr>
        <w:t>.</w:t>
      </w:r>
      <w:r>
        <w:rPr>
          <w:rFonts w:ascii="Arial" w:eastAsia="Calibri" w:hAnsi="Arial" w:cs="Arial"/>
          <w:bCs/>
        </w:rPr>
        <w:t xml:space="preserve"> </w:t>
      </w:r>
      <w:r>
        <w:rPr>
          <w:rFonts w:ascii="Arial" w:eastAsia="Calibri" w:hAnsi="Arial" w:cs="Arial"/>
          <w:bCs/>
        </w:rPr>
        <w:br/>
      </w:r>
    </w:p>
    <w:p w14:paraId="5C6278BB" w14:textId="110BB007" w:rsidR="00CB2B1F" w:rsidRPr="00CB2B1F" w:rsidRDefault="00CB2B1F" w:rsidP="00CB2B1F">
      <w:pPr>
        <w:pStyle w:val="ListParagraph"/>
        <w:numPr>
          <w:ilvl w:val="0"/>
          <w:numId w:val="5"/>
        </w:numPr>
        <w:spacing w:line="360" w:lineRule="auto"/>
        <w:rPr>
          <w:rFonts w:ascii="Arial" w:eastAsia="Calibri" w:hAnsi="Arial" w:cs="Arial"/>
          <w:bCs/>
          <w:u w:val="single"/>
        </w:rPr>
      </w:pPr>
      <w:r>
        <w:rPr>
          <w:rFonts w:ascii="Arial" w:eastAsia="Calibri" w:hAnsi="Arial" w:cs="Arial"/>
          <w:bCs/>
        </w:rPr>
        <w:t xml:space="preserve">The conviction refers to any Commonwealth, State or Territory or international law. There is no requirement for the conviction to be related to </w:t>
      </w:r>
      <w:r w:rsidR="00BA3BF1">
        <w:rPr>
          <w:rFonts w:ascii="Arial" w:eastAsia="Calibri" w:hAnsi="Arial" w:cs="Arial"/>
          <w:bCs/>
        </w:rPr>
        <w:t xml:space="preserve">industrial relations of the work of the union in any way. The inclusion of automatic disqualification on these grounds are too broad and are not adequately related to the operation of the union. </w:t>
      </w:r>
    </w:p>
    <w:p w14:paraId="7EF628A1" w14:textId="5F4F66C1" w:rsidR="007541CD" w:rsidRPr="00A75589" w:rsidRDefault="007541CD" w:rsidP="007541CD">
      <w:pPr>
        <w:spacing w:line="360" w:lineRule="auto"/>
        <w:rPr>
          <w:rFonts w:ascii="Arial" w:eastAsia="Calibri" w:hAnsi="Arial" w:cs="Arial"/>
          <w:bCs/>
          <w:u w:val="single"/>
        </w:rPr>
      </w:pPr>
      <w:r w:rsidRPr="00A75589">
        <w:rPr>
          <w:rFonts w:ascii="Arial" w:eastAsia="Calibri" w:hAnsi="Arial" w:cs="Arial"/>
          <w:bCs/>
          <w:u w:val="single"/>
        </w:rPr>
        <w:t xml:space="preserve">Designated </w:t>
      </w:r>
      <w:r w:rsidR="00AF272D">
        <w:rPr>
          <w:rFonts w:ascii="Arial" w:eastAsia="Calibri" w:hAnsi="Arial" w:cs="Arial"/>
          <w:bCs/>
          <w:u w:val="single"/>
        </w:rPr>
        <w:t xml:space="preserve">Finding </w:t>
      </w:r>
    </w:p>
    <w:p w14:paraId="012A7317" w14:textId="25973A4E" w:rsidR="00455B13" w:rsidRDefault="007541CD" w:rsidP="0036667E">
      <w:pPr>
        <w:pStyle w:val="ListParagraph"/>
        <w:numPr>
          <w:ilvl w:val="0"/>
          <w:numId w:val="5"/>
        </w:numPr>
        <w:spacing w:line="360" w:lineRule="auto"/>
        <w:rPr>
          <w:rFonts w:ascii="Arial" w:hAnsi="Arial" w:cs="Arial"/>
        </w:rPr>
      </w:pPr>
      <w:r w:rsidRPr="0036667E">
        <w:rPr>
          <w:rFonts w:ascii="Arial" w:hAnsi="Arial" w:cs="Arial"/>
        </w:rPr>
        <w:t xml:space="preserve">The Bill </w:t>
      </w:r>
      <w:r w:rsidR="0036667E" w:rsidRPr="0036667E">
        <w:rPr>
          <w:rFonts w:ascii="Arial" w:hAnsi="Arial" w:cs="Arial"/>
        </w:rPr>
        <w:t xml:space="preserve">introduces the </w:t>
      </w:r>
      <w:r w:rsidRPr="0036667E">
        <w:rPr>
          <w:rFonts w:ascii="Arial" w:hAnsi="Arial" w:cs="Arial"/>
        </w:rPr>
        <w:t>term</w:t>
      </w:r>
      <w:r w:rsidR="0036667E" w:rsidRPr="0036667E">
        <w:rPr>
          <w:rFonts w:ascii="Arial" w:hAnsi="Arial" w:cs="Arial"/>
        </w:rPr>
        <w:t xml:space="preserve"> </w:t>
      </w:r>
      <w:r w:rsidRPr="0036667E">
        <w:rPr>
          <w:rFonts w:ascii="Arial" w:hAnsi="Arial" w:cs="Arial"/>
          <w:i/>
        </w:rPr>
        <w:t>designated findings</w:t>
      </w:r>
      <w:r w:rsidR="0036667E" w:rsidRPr="0036667E">
        <w:rPr>
          <w:rFonts w:ascii="Arial" w:hAnsi="Arial" w:cs="Arial"/>
        </w:rPr>
        <w:t xml:space="preserve"> to</w:t>
      </w:r>
      <w:r w:rsidRPr="0036667E">
        <w:rPr>
          <w:rFonts w:ascii="Arial" w:hAnsi="Arial" w:cs="Arial"/>
        </w:rPr>
        <w:t xml:space="preserve"> </w:t>
      </w:r>
      <w:r w:rsidR="0036667E" w:rsidRPr="0036667E">
        <w:rPr>
          <w:rFonts w:ascii="Arial" w:hAnsi="Arial" w:cs="Arial"/>
        </w:rPr>
        <w:t xml:space="preserve">define </w:t>
      </w:r>
      <w:r w:rsidRPr="0036667E">
        <w:rPr>
          <w:rFonts w:ascii="Arial" w:hAnsi="Arial" w:cs="Arial"/>
        </w:rPr>
        <w:t>a</w:t>
      </w:r>
      <w:r w:rsidR="0036667E" w:rsidRPr="0036667E">
        <w:rPr>
          <w:rFonts w:ascii="Arial" w:hAnsi="Arial" w:cs="Arial"/>
        </w:rPr>
        <w:t xml:space="preserve"> broad</w:t>
      </w:r>
      <w:r w:rsidRPr="0036667E">
        <w:rPr>
          <w:rFonts w:ascii="Arial" w:hAnsi="Arial" w:cs="Arial"/>
        </w:rPr>
        <w:t xml:space="preserve"> category of offences</w:t>
      </w:r>
      <w:r w:rsidR="00A27EBE">
        <w:rPr>
          <w:rFonts w:ascii="Arial" w:hAnsi="Arial" w:cs="Arial"/>
        </w:rPr>
        <w:t xml:space="preserve"> which can be used to make an application for disqualification against a union official</w:t>
      </w:r>
      <w:r w:rsidR="0036667E" w:rsidRPr="0036667E">
        <w:rPr>
          <w:rFonts w:ascii="Arial" w:hAnsi="Arial" w:cs="Arial"/>
        </w:rPr>
        <w:t xml:space="preserve">. </w:t>
      </w:r>
      <w:r w:rsidR="0036667E" w:rsidRPr="0036667E">
        <w:rPr>
          <w:rFonts w:ascii="Arial" w:hAnsi="Arial" w:cs="Arial"/>
          <w:i/>
        </w:rPr>
        <w:t>Designated findings</w:t>
      </w:r>
      <w:r w:rsidR="00922DFF">
        <w:rPr>
          <w:rFonts w:ascii="Arial" w:hAnsi="Arial" w:cs="Arial"/>
        </w:rPr>
        <w:t xml:space="preserve"> capture </w:t>
      </w:r>
      <w:r w:rsidR="0036667E" w:rsidRPr="0036667E">
        <w:rPr>
          <w:rFonts w:ascii="Arial" w:hAnsi="Arial" w:cs="Arial"/>
        </w:rPr>
        <w:t>findings in any civ</w:t>
      </w:r>
      <w:r w:rsidR="00922DFF">
        <w:rPr>
          <w:rFonts w:ascii="Arial" w:hAnsi="Arial" w:cs="Arial"/>
        </w:rPr>
        <w:t>il proceedings against a person</w:t>
      </w:r>
      <w:r w:rsidR="0036667E" w:rsidRPr="0036667E">
        <w:rPr>
          <w:rFonts w:ascii="Arial" w:hAnsi="Arial" w:cs="Arial"/>
        </w:rPr>
        <w:t xml:space="preserve"> in relation to a contravention of a civil penalty or remedy in the </w:t>
      </w:r>
      <w:r w:rsidR="0036667E" w:rsidRPr="0036667E">
        <w:rPr>
          <w:rFonts w:ascii="Arial" w:hAnsi="Arial" w:cs="Arial"/>
          <w:i/>
        </w:rPr>
        <w:t>Fair Work Act</w:t>
      </w:r>
      <w:r w:rsidR="00BA3BF1">
        <w:rPr>
          <w:rFonts w:ascii="Arial" w:hAnsi="Arial" w:cs="Arial"/>
          <w:i/>
        </w:rPr>
        <w:t xml:space="preserve"> 2009</w:t>
      </w:r>
      <w:r w:rsidR="0036667E" w:rsidRPr="0036667E">
        <w:rPr>
          <w:rFonts w:ascii="Arial" w:hAnsi="Arial" w:cs="Arial"/>
          <w:i/>
        </w:rPr>
        <w:t>, Registered Organisation Act</w:t>
      </w:r>
      <w:r w:rsidR="00BA3BF1">
        <w:rPr>
          <w:rFonts w:ascii="Arial" w:hAnsi="Arial" w:cs="Arial"/>
          <w:i/>
        </w:rPr>
        <w:t xml:space="preserve"> 2009</w:t>
      </w:r>
      <w:r w:rsidR="0036667E" w:rsidRPr="0036667E">
        <w:rPr>
          <w:rFonts w:ascii="Arial" w:hAnsi="Arial" w:cs="Arial"/>
          <w:i/>
        </w:rPr>
        <w:t xml:space="preserve">, Building and Construction Industry (Improving Productivity) Act 2016, Work Health Safety Act 2011 </w:t>
      </w:r>
      <w:r w:rsidR="0036667E" w:rsidRPr="0036667E">
        <w:rPr>
          <w:rFonts w:ascii="Arial" w:hAnsi="Arial" w:cs="Arial"/>
        </w:rPr>
        <w:t>or State and Territory OHS legislation</w:t>
      </w:r>
      <w:r w:rsidR="0036667E" w:rsidRPr="00A75589">
        <w:rPr>
          <w:rStyle w:val="FootnoteReference"/>
          <w:rFonts w:ascii="Arial" w:hAnsi="Arial" w:cs="Arial"/>
        </w:rPr>
        <w:footnoteReference w:id="4"/>
      </w:r>
      <w:r w:rsidR="0036667E" w:rsidRPr="0036667E">
        <w:rPr>
          <w:rFonts w:ascii="Arial" w:hAnsi="Arial" w:cs="Arial"/>
        </w:rPr>
        <w:t xml:space="preserve">. </w:t>
      </w:r>
      <w:r w:rsidR="00455B13">
        <w:rPr>
          <w:rFonts w:ascii="Arial" w:hAnsi="Arial" w:cs="Arial"/>
        </w:rPr>
        <w:br/>
      </w:r>
    </w:p>
    <w:p w14:paraId="4481B0A2" w14:textId="5A51C147" w:rsidR="007541CD" w:rsidRPr="0036667E" w:rsidRDefault="0036667E" w:rsidP="0036667E">
      <w:pPr>
        <w:pStyle w:val="ListParagraph"/>
        <w:numPr>
          <w:ilvl w:val="0"/>
          <w:numId w:val="5"/>
        </w:numPr>
        <w:spacing w:line="360" w:lineRule="auto"/>
        <w:rPr>
          <w:rFonts w:ascii="Arial" w:hAnsi="Arial" w:cs="Arial"/>
        </w:rPr>
      </w:pPr>
      <w:r w:rsidRPr="0036667E">
        <w:rPr>
          <w:rFonts w:ascii="Arial" w:hAnsi="Arial" w:cs="Arial"/>
        </w:rPr>
        <w:t xml:space="preserve">The Bill stipulates </w:t>
      </w:r>
      <w:r w:rsidR="00455B13">
        <w:rPr>
          <w:rFonts w:ascii="Arial" w:hAnsi="Arial" w:cs="Arial"/>
        </w:rPr>
        <w:t xml:space="preserve">designated </w:t>
      </w:r>
      <w:r w:rsidRPr="0036667E">
        <w:rPr>
          <w:rFonts w:ascii="Arial" w:hAnsi="Arial" w:cs="Arial"/>
        </w:rPr>
        <w:t>findings can be</w:t>
      </w:r>
      <w:r w:rsidR="007541CD" w:rsidRPr="0036667E">
        <w:rPr>
          <w:rFonts w:ascii="Arial" w:hAnsi="Arial" w:cs="Arial"/>
        </w:rPr>
        <w:t xml:space="preserve"> considered</w:t>
      </w:r>
      <w:r w:rsidRPr="0036667E">
        <w:rPr>
          <w:rFonts w:ascii="Arial" w:hAnsi="Arial" w:cs="Arial"/>
        </w:rPr>
        <w:t xml:space="preserve"> by the Federal Court</w:t>
      </w:r>
      <w:r w:rsidR="00922DFF">
        <w:rPr>
          <w:rFonts w:ascii="Arial" w:hAnsi="Arial" w:cs="Arial"/>
        </w:rPr>
        <w:t xml:space="preserve"> to be grounds </w:t>
      </w:r>
      <w:r w:rsidRPr="0036667E">
        <w:rPr>
          <w:rFonts w:ascii="Arial" w:hAnsi="Arial" w:cs="Arial"/>
        </w:rPr>
        <w:t xml:space="preserve">to make </w:t>
      </w:r>
      <w:r w:rsidR="00922DFF">
        <w:rPr>
          <w:rFonts w:ascii="Arial" w:hAnsi="Arial" w:cs="Arial"/>
        </w:rPr>
        <w:t xml:space="preserve">an </w:t>
      </w:r>
      <w:r w:rsidRPr="0036667E">
        <w:rPr>
          <w:rFonts w:ascii="Arial" w:hAnsi="Arial" w:cs="Arial"/>
        </w:rPr>
        <w:t>order for the</w:t>
      </w:r>
      <w:r w:rsidR="007541CD" w:rsidRPr="0036667E">
        <w:rPr>
          <w:rFonts w:ascii="Arial" w:hAnsi="Arial" w:cs="Arial"/>
        </w:rPr>
        <w:t xml:space="preserve"> disqualification of union officers, the cancellation of</w:t>
      </w:r>
      <w:r w:rsidRPr="0036667E">
        <w:rPr>
          <w:rFonts w:ascii="Arial" w:hAnsi="Arial" w:cs="Arial"/>
        </w:rPr>
        <w:t xml:space="preserve"> union</w:t>
      </w:r>
      <w:r w:rsidR="007541CD" w:rsidRPr="0036667E">
        <w:rPr>
          <w:rFonts w:ascii="Arial" w:hAnsi="Arial" w:cs="Arial"/>
        </w:rPr>
        <w:t xml:space="preserve"> registration, and/or</w:t>
      </w:r>
      <w:r w:rsidRPr="0036667E">
        <w:rPr>
          <w:rFonts w:ascii="Arial" w:hAnsi="Arial" w:cs="Arial"/>
        </w:rPr>
        <w:t xml:space="preserve"> used as</w:t>
      </w:r>
      <w:r w:rsidR="007541CD" w:rsidRPr="0036667E">
        <w:rPr>
          <w:rFonts w:ascii="Arial" w:hAnsi="Arial" w:cs="Arial"/>
        </w:rPr>
        <w:t xml:space="preserve"> grounds</w:t>
      </w:r>
      <w:r w:rsidRPr="0036667E">
        <w:rPr>
          <w:rFonts w:ascii="Arial" w:hAnsi="Arial" w:cs="Arial"/>
        </w:rPr>
        <w:t xml:space="preserve"> for the Fair Work Commission to </w:t>
      </w:r>
      <w:r w:rsidR="00922DFF">
        <w:rPr>
          <w:rFonts w:ascii="Arial" w:hAnsi="Arial" w:cs="Arial"/>
        </w:rPr>
        <w:t>prevent</w:t>
      </w:r>
      <w:r w:rsidR="007541CD" w:rsidRPr="0036667E">
        <w:rPr>
          <w:rFonts w:ascii="Arial" w:hAnsi="Arial" w:cs="Arial"/>
        </w:rPr>
        <w:t xml:space="preserve"> </w:t>
      </w:r>
      <w:r w:rsidRPr="0036667E">
        <w:rPr>
          <w:rFonts w:ascii="Arial" w:hAnsi="Arial" w:cs="Arial"/>
        </w:rPr>
        <w:t>the</w:t>
      </w:r>
      <w:r w:rsidR="007541CD" w:rsidRPr="0036667E">
        <w:rPr>
          <w:rFonts w:ascii="Arial" w:hAnsi="Arial" w:cs="Arial"/>
        </w:rPr>
        <w:t xml:space="preserve"> amalgamation of trade unions</w:t>
      </w:r>
      <w:r w:rsidR="007541CD" w:rsidRPr="00A75589">
        <w:rPr>
          <w:rStyle w:val="FootnoteReference"/>
          <w:rFonts w:ascii="Arial" w:hAnsi="Arial" w:cs="Arial"/>
        </w:rPr>
        <w:footnoteReference w:id="5"/>
      </w:r>
      <w:r w:rsidR="007541CD" w:rsidRPr="0036667E">
        <w:rPr>
          <w:rFonts w:ascii="Arial" w:hAnsi="Arial" w:cs="Arial"/>
        </w:rPr>
        <w:t>.</w:t>
      </w:r>
    </w:p>
    <w:p w14:paraId="3E621257" w14:textId="77777777" w:rsidR="007541CD" w:rsidRPr="00A75589" w:rsidRDefault="007541CD" w:rsidP="007541CD">
      <w:pPr>
        <w:pStyle w:val="ListParagraph"/>
        <w:rPr>
          <w:rFonts w:ascii="Arial" w:hAnsi="Arial" w:cs="Arial"/>
        </w:rPr>
      </w:pPr>
    </w:p>
    <w:p w14:paraId="07CB6D7C" w14:textId="0DD7DAEE" w:rsidR="00D90D95" w:rsidRPr="00BA3BF1" w:rsidRDefault="007541CD" w:rsidP="00BA3BF1">
      <w:pPr>
        <w:pStyle w:val="ListParagraph"/>
        <w:numPr>
          <w:ilvl w:val="0"/>
          <w:numId w:val="5"/>
        </w:numPr>
        <w:spacing w:line="360" w:lineRule="auto"/>
        <w:rPr>
          <w:rFonts w:ascii="Arial" w:hAnsi="Arial" w:cs="Arial"/>
        </w:rPr>
      </w:pPr>
      <w:r w:rsidRPr="00A75589">
        <w:rPr>
          <w:rFonts w:ascii="Arial" w:hAnsi="Arial" w:cs="Arial"/>
        </w:rPr>
        <w:t xml:space="preserve">The threshold for an individual to have a </w:t>
      </w:r>
      <w:r w:rsidRPr="00A75589">
        <w:rPr>
          <w:rFonts w:ascii="Arial" w:hAnsi="Arial" w:cs="Arial"/>
          <w:i/>
        </w:rPr>
        <w:t>designated finding</w:t>
      </w:r>
      <w:r w:rsidRPr="00A75589">
        <w:rPr>
          <w:rFonts w:ascii="Arial" w:hAnsi="Arial" w:cs="Arial"/>
        </w:rPr>
        <w:t xml:space="preserve"> made against them is low and does not accurately reflect the severity in which i</w:t>
      </w:r>
      <w:r w:rsidR="00DD252E">
        <w:rPr>
          <w:rFonts w:ascii="Arial" w:hAnsi="Arial" w:cs="Arial"/>
        </w:rPr>
        <w:t>t can be applied in the Bill. Under</w:t>
      </w:r>
      <w:r w:rsidRPr="00A75589">
        <w:rPr>
          <w:rFonts w:ascii="Arial" w:hAnsi="Arial" w:cs="Arial"/>
        </w:rPr>
        <w:t xml:space="preserve"> the </w:t>
      </w:r>
      <w:r w:rsidRPr="00A75589">
        <w:rPr>
          <w:rFonts w:ascii="Arial" w:hAnsi="Arial" w:cs="Arial"/>
          <w:i/>
        </w:rPr>
        <w:t>Fair Work Act,</w:t>
      </w:r>
      <w:r w:rsidRPr="00A75589">
        <w:rPr>
          <w:rFonts w:ascii="Arial" w:hAnsi="Arial" w:cs="Arial"/>
        </w:rPr>
        <w:t xml:space="preserve"> a union official who does not return an expired Right of Entry Permit directly to the Commission seven days after it has expired faces a civil penalty of up to 60 penalty units</w:t>
      </w:r>
      <w:r w:rsidRPr="00A75589">
        <w:rPr>
          <w:rStyle w:val="FootnoteReference"/>
          <w:rFonts w:ascii="Arial" w:hAnsi="Arial" w:cs="Arial"/>
        </w:rPr>
        <w:footnoteReference w:id="6"/>
      </w:r>
      <w:r w:rsidRPr="00A75589">
        <w:rPr>
          <w:rFonts w:ascii="Arial" w:hAnsi="Arial" w:cs="Arial"/>
        </w:rPr>
        <w:t>. Under the proposed Bill, a finding in</w:t>
      </w:r>
      <w:r w:rsidRPr="007541CD">
        <w:rPr>
          <w:rFonts w:ascii="Arial" w:hAnsi="Arial" w:cs="Arial"/>
        </w:rPr>
        <w:t xml:space="preserve"> relation to this simple administrative oversight is now considered grounds for disqualification as a union official</w:t>
      </w:r>
      <w:r>
        <w:rPr>
          <w:rStyle w:val="FootnoteReference"/>
          <w:rFonts w:ascii="Arial" w:hAnsi="Arial" w:cs="Arial"/>
        </w:rPr>
        <w:footnoteReference w:id="7"/>
      </w:r>
      <w:r w:rsidRPr="007541CD">
        <w:rPr>
          <w:rFonts w:ascii="Arial" w:hAnsi="Arial" w:cs="Arial"/>
        </w:rPr>
        <w:t xml:space="preserve">. </w:t>
      </w:r>
      <w:r w:rsidRPr="00BA3BF1">
        <w:rPr>
          <w:rFonts w:ascii="Arial" w:hAnsi="Arial" w:cs="Arial"/>
        </w:rPr>
        <w:t xml:space="preserve">Further, if </w:t>
      </w:r>
      <w:r w:rsidR="00D90D95" w:rsidRPr="00BA3BF1">
        <w:rPr>
          <w:rFonts w:ascii="Arial" w:hAnsi="Arial" w:cs="Arial"/>
        </w:rPr>
        <w:t>a substantial number of</w:t>
      </w:r>
      <w:r w:rsidRPr="00BA3BF1">
        <w:rPr>
          <w:rFonts w:ascii="Arial" w:hAnsi="Arial" w:cs="Arial"/>
        </w:rPr>
        <w:t xml:space="preserve"> officials </w:t>
      </w:r>
      <w:r w:rsidR="00DB033D" w:rsidRPr="00BA3BF1">
        <w:rPr>
          <w:rFonts w:ascii="Arial" w:hAnsi="Arial" w:cs="Arial"/>
        </w:rPr>
        <w:t xml:space="preserve">who are also members </w:t>
      </w:r>
      <w:r w:rsidR="00D90D95" w:rsidRPr="00BA3BF1">
        <w:rPr>
          <w:rFonts w:ascii="Arial" w:hAnsi="Arial" w:cs="Arial"/>
        </w:rPr>
        <w:t xml:space="preserve">(the exact number required is not defined in the Bill) </w:t>
      </w:r>
      <w:r w:rsidRPr="00BA3BF1">
        <w:rPr>
          <w:rFonts w:ascii="Arial" w:hAnsi="Arial" w:cs="Arial"/>
        </w:rPr>
        <w:t>have a finding made against them in relation to the late return of an expi</w:t>
      </w:r>
      <w:r w:rsidR="00644261" w:rsidRPr="00BA3BF1">
        <w:rPr>
          <w:rFonts w:ascii="Arial" w:hAnsi="Arial" w:cs="Arial"/>
        </w:rPr>
        <w:t xml:space="preserve">red permit, this </w:t>
      </w:r>
      <w:r w:rsidR="00DB033D" w:rsidRPr="00BA3BF1">
        <w:rPr>
          <w:rFonts w:ascii="Arial" w:hAnsi="Arial" w:cs="Arial"/>
        </w:rPr>
        <w:t>could be</w:t>
      </w:r>
      <w:r w:rsidR="00644261" w:rsidRPr="00BA3BF1">
        <w:rPr>
          <w:rFonts w:ascii="Arial" w:hAnsi="Arial" w:cs="Arial"/>
        </w:rPr>
        <w:t xml:space="preserve"> considered </w:t>
      </w:r>
      <w:r w:rsidR="0012542F" w:rsidRPr="00BA3BF1">
        <w:rPr>
          <w:rFonts w:ascii="Arial" w:hAnsi="Arial" w:cs="Arial"/>
        </w:rPr>
        <w:t>grounds</w:t>
      </w:r>
      <w:r w:rsidRPr="00BA3BF1">
        <w:rPr>
          <w:rFonts w:ascii="Arial" w:hAnsi="Arial" w:cs="Arial"/>
        </w:rPr>
        <w:t xml:space="preserve"> for the deregistration of the union</w:t>
      </w:r>
      <w:r>
        <w:rPr>
          <w:rStyle w:val="FootnoteReference"/>
          <w:rFonts w:ascii="Arial" w:hAnsi="Arial" w:cs="Arial"/>
        </w:rPr>
        <w:footnoteReference w:id="8"/>
      </w:r>
      <w:r w:rsidRPr="00BA3BF1">
        <w:rPr>
          <w:rFonts w:ascii="Arial" w:hAnsi="Arial" w:cs="Arial"/>
        </w:rPr>
        <w:t xml:space="preserve">. </w:t>
      </w:r>
    </w:p>
    <w:p w14:paraId="2233E1C0" w14:textId="77777777" w:rsidR="00D90D95" w:rsidRPr="00D90D95" w:rsidRDefault="00D90D95" w:rsidP="00D90D95">
      <w:pPr>
        <w:pStyle w:val="ListParagraph"/>
        <w:rPr>
          <w:rFonts w:ascii="Arial" w:hAnsi="Arial" w:cs="Arial"/>
        </w:rPr>
      </w:pPr>
    </w:p>
    <w:p w14:paraId="53666520" w14:textId="50A22F63" w:rsidR="007541CD" w:rsidRPr="007541CD" w:rsidRDefault="007541CD" w:rsidP="0036667E">
      <w:pPr>
        <w:pStyle w:val="ListParagraph"/>
        <w:numPr>
          <w:ilvl w:val="0"/>
          <w:numId w:val="5"/>
        </w:numPr>
        <w:spacing w:line="360" w:lineRule="auto"/>
        <w:rPr>
          <w:rFonts w:ascii="Arial" w:hAnsi="Arial" w:cs="Arial"/>
        </w:rPr>
      </w:pPr>
      <w:r w:rsidRPr="007541CD">
        <w:rPr>
          <w:rFonts w:ascii="Arial" w:hAnsi="Arial" w:cs="Arial"/>
        </w:rPr>
        <w:t xml:space="preserve">Under the </w:t>
      </w:r>
      <w:r w:rsidRPr="007541CD">
        <w:rPr>
          <w:rFonts w:ascii="Arial" w:hAnsi="Arial" w:cs="Arial"/>
          <w:i/>
        </w:rPr>
        <w:t>Registered Organisations Act</w:t>
      </w:r>
      <w:r w:rsidRPr="007541CD">
        <w:rPr>
          <w:rFonts w:ascii="Arial" w:hAnsi="Arial" w:cs="Arial"/>
        </w:rPr>
        <w:t>, an organisation must lodge their financial report with the Fair Work Commission within 14 days of their general meeting. Late lodgement could result in the organisation facing a civil penalty of up to 300 penalty units</w:t>
      </w:r>
      <w:r w:rsidR="002438A8">
        <w:rPr>
          <w:rStyle w:val="FootnoteReference"/>
          <w:rFonts w:ascii="Arial" w:hAnsi="Arial" w:cs="Arial"/>
        </w:rPr>
        <w:footnoteReference w:id="9"/>
      </w:r>
      <w:r w:rsidRPr="007541CD">
        <w:rPr>
          <w:rFonts w:ascii="Arial" w:hAnsi="Arial" w:cs="Arial"/>
        </w:rPr>
        <w:t xml:space="preserve">. A finding against the organisation would also be considered a </w:t>
      </w:r>
      <w:r w:rsidRPr="007541CD">
        <w:rPr>
          <w:rFonts w:ascii="Arial" w:hAnsi="Arial" w:cs="Arial"/>
          <w:i/>
        </w:rPr>
        <w:t xml:space="preserve">designated finding </w:t>
      </w:r>
      <w:r w:rsidR="00922DFF">
        <w:rPr>
          <w:rFonts w:ascii="Arial" w:hAnsi="Arial" w:cs="Arial"/>
        </w:rPr>
        <w:t>under the proposed Bill</w:t>
      </w:r>
      <w:r w:rsidRPr="007541CD">
        <w:rPr>
          <w:rFonts w:ascii="Arial" w:hAnsi="Arial" w:cs="Arial"/>
        </w:rPr>
        <w:t xml:space="preserve"> </w:t>
      </w:r>
      <w:r w:rsidR="002438A8">
        <w:rPr>
          <w:rFonts w:ascii="Arial" w:hAnsi="Arial" w:cs="Arial"/>
        </w:rPr>
        <w:t xml:space="preserve">and could be used as a ground </w:t>
      </w:r>
      <w:r w:rsidR="00D90D95">
        <w:rPr>
          <w:rFonts w:ascii="Arial" w:hAnsi="Arial" w:cs="Arial"/>
        </w:rPr>
        <w:t>to prevent an amalgamation from occurring</w:t>
      </w:r>
      <w:r w:rsidR="002438A8">
        <w:rPr>
          <w:rStyle w:val="FootnoteReference"/>
          <w:rFonts w:ascii="Arial" w:hAnsi="Arial" w:cs="Arial"/>
        </w:rPr>
        <w:footnoteReference w:id="10"/>
      </w:r>
      <w:r w:rsidR="002438A8">
        <w:rPr>
          <w:rFonts w:ascii="Arial" w:hAnsi="Arial" w:cs="Arial"/>
        </w:rPr>
        <w:t xml:space="preserve">. </w:t>
      </w:r>
    </w:p>
    <w:p w14:paraId="1A426E72" w14:textId="77777777" w:rsidR="00CD301A" w:rsidRPr="0029177E" w:rsidRDefault="00CD301A" w:rsidP="00D76A7B">
      <w:pPr>
        <w:spacing w:line="360" w:lineRule="auto"/>
        <w:rPr>
          <w:rFonts w:ascii="Arial" w:hAnsi="Arial" w:cs="Arial"/>
          <w:u w:val="single"/>
        </w:rPr>
      </w:pPr>
      <w:r w:rsidRPr="0029177E">
        <w:rPr>
          <w:rFonts w:ascii="Arial" w:hAnsi="Arial" w:cs="Arial"/>
          <w:u w:val="single"/>
        </w:rPr>
        <w:t>Retrospectivity</w:t>
      </w:r>
    </w:p>
    <w:p w14:paraId="4AE4F9A7" w14:textId="17CF3A26" w:rsidR="001E1986" w:rsidRDefault="00A75589" w:rsidP="00BA128A">
      <w:pPr>
        <w:pStyle w:val="ListParagraph"/>
        <w:numPr>
          <w:ilvl w:val="0"/>
          <w:numId w:val="5"/>
        </w:numPr>
        <w:spacing w:line="360" w:lineRule="auto"/>
        <w:rPr>
          <w:rFonts w:ascii="Arial" w:hAnsi="Arial" w:cs="Arial"/>
        </w:rPr>
      </w:pPr>
      <w:r w:rsidRPr="00282BBB">
        <w:rPr>
          <w:rFonts w:ascii="Arial" w:hAnsi="Arial" w:cs="Arial"/>
        </w:rPr>
        <w:t>Item 1</w:t>
      </w:r>
      <w:r w:rsidR="00D90D95">
        <w:rPr>
          <w:rFonts w:ascii="Arial" w:hAnsi="Arial" w:cs="Arial"/>
        </w:rPr>
        <w:t>7</w:t>
      </w:r>
      <w:r w:rsidRPr="00282BBB">
        <w:rPr>
          <w:rFonts w:ascii="Arial" w:hAnsi="Arial" w:cs="Arial"/>
        </w:rPr>
        <w:t xml:space="preserve"> of Schedule 1 of the Bill </w:t>
      </w:r>
      <w:r w:rsidR="00423E00" w:rsidRPr="00282BBB">
        <w:rPr>
          <w:rFonts w:ascii="Arial" w:hAnsi="Arial" w:cs="Arial"/>
        </w:rPr>
        <w:t>rest</w:t>
      </w:r>
      <w:r w:rsidR="00AA252F" w:rsidRPr="00282BBB">
        <w:rPr>
          <w:rFonts w:ascii="Arial" w:hAnsi="Arial" w:cs="Arial"/>
        </w:rPr>
        <w:t>ricts</w:t>
      </w:r>
      <w:r w:rsidR="00423E00" w:rsidRPr="00282BBB">
        <w:rPr>
          <w:rFonts w:ascii="Arial" w:hAnsi="Arial" w:cs="Arial"/>
        </w:rPr>
        <w:t xml:space="preserve"> the Court to considering only conduct engaged in after the commencement of the </w:t>
      </w:r>
      <w:r w:rsidR="00EF519D" w:rsidRPr="00282BBB">
        <w:rPr>
          <w:rFonts w:ascii="Arial" w:hAnsi="Arial" w:cs="Arial"/>
        </w:rPr>
        <w:t>Schedule</w:t>
      </w:r>
      <w:r w:rsidR="00AA252F" w:rsidRPr="00282BBB">
        <w:rPr>
          <w:rFonts w:ascii="Arial" w:hAnsi="Arial" w:cs="Arial"/>
        </w:rPr>
        <w:t xml:space="preserve"> when </w:t>
      </w:r>
      <w:r w:rsidR="00723B07" w:rsidRPr="00282BBB">
        <w:rPr>
          <w:rFonts w:ascii="Arial" w:hAnsi="Arial" w:cs="Arial"/>
        </w:rPr>
        <w:t xml:space="preserve">determining </w:t>
      </w:r>
      <w:r w:rsidR="00AA252F" w:rsidRPr="00282BBB">
        <w:rPr>
          <w:rFonts w:ascii="Arial" w:hAnsi="Arial" w:cs="Arial"/>
        </w:rPr>
        <w:t>whether a ground for disqualification ha</w:t>
      </w:r>
      <w:r w:rsidR="002438A8" w:rsidRPr="00282BBB">
        <w:rPr>
          <w:rFonts w:ascii="Arial" w:hAnsi="Arial" w:cs="Arial"/>
        </w:rPr>
        <w:t>s been met. This is important to</w:t>
      </w:r>
      <w:r w:rsidR="00AA252F" w:rsidRPr="00282BBB">
        <w:rPr>
          <w:rFonts w:ascii="Arial" w:hAnsi="Arial" w:cs="Arial"/>
        </w:rPr>
        <w:t xml:space="preserve"> ensur</w:t>
      </w:r>
      <w:r w:rsidR="002438A8" w:rsidRPr="00282BBB">
        <w:rPr>
          <w:rFonts w:ascii="Arial" w:hAnsi="Arial" w:cs="Arial"/>
        </w:rPr>
        <w:t>e</w:t>
      </w:r>
      <w:r w:rsidR="00AA252F" w:rsidRPr="00282BBB">
        <w:rPr>
          <w:rFonts w:ascii="Arial" w:hAnsi="Arial" w:cs="Arial"/>
        </w:rPr>
        <w:t xml:space="preserve"> the law is not retrospective and office holders are not punished for actions they did not know the consequences of at the time. </w:t>
      </w:r>
    </w:p>
    <w:p w14:paraId="0875612C" w14:textId="77777777" w:rsidR="0012542F" w:rsidRDefault="0012542F" w:rsidP="0012542F">
      <w:pPr>
        <w:pStyle w:val="ListParagraph"/>
        <w:spacing w:line="360" w:lineRule="auto"/>
        <w:rPr>
          <w:rFonts w:ascii="Arial" w:hAnsi="Arial" w:cs="Arial"/>
        </w:rPr>
      </w:pPr>
    </w:p>
    <w:p w14:paraId="6A7A6B9C" w14:textId="65F14A04" w:rsidR="001E1986" w:rsidRDefault="003D5DA2" w:rsidP="00BA128A">
      <w:pPr>
        <w:pStyle w:val="ListParagraph"/>
        <w:numPr>
          <w:ilvl w:val="0"/>
          <w:numId w:val="5"/>
        </w:numPr>
        <w:spacing w:line="360" w:lineRule="auto"/>
        <w:rPr>
          <w:rFonts w:ascii="Arial" w:hAnsi="Arial" w:cs="Arial"/>
        </w:rPr>
      </w:pPr>
      <w:r>
        <w:rPr>
          <w:rFonts w:ascii="Arial" w:hAnsi="Arial" w:cs="Arial"/>
        </w:rPr>
        <w:t xml:space="preserve">The protection against retrospectivity however is undermined by the reference to right of entry as a ground for disqualification. </w:t>
      </w:r>
      <w:r w:rsidR="001E1986">
        <w:rPr>
          <w:rFonts w:ascii="Arial" w:hAnsi="Arial" w:cs="Arial"/>
        </w:rPr>
        <w:t>The</w:t>
      </w:r>
      <w:r w:rsidR="00AA252F" w:rsidRPr="00282BBB">
        <w:rPr>
          <w:rFonts w:ascii="Arial" w:hAnsi="Arial" w:cs="Arial"/>
        </w:rPr>
        <w:t xml:space="preserve"> Bill stipu</w:t>
      </w:r>
      <w:r w:rsidR="002438A8" w:rsidRPr="00282BBB">
        <w:rPr>
          <w:rFonts w:ascii="Arial" w:hAnsi="Arial" w:cs="Arial"/>
        </w:rPr>
        <w:t xml:space="preserve">lates </w:t>
      </w:r>
      <w:r>
        <w:rPr>
          <w:rFonts w:ascii="Arial" w:hAnsi="Arial" w:cs="Arial"/>
        </w:rPr>
        <w:t>an officer having</w:t>
      </w:r>
      <w:r w:rsidR="002438A8" w:rsidRPr="00282BBB">
        <w:rPr>
          <w:rFonts w:ascii="Arial" w:hAnsi="Arial" w:cs="Arial"/>
        </w:rPr>
        <w:t xml:space="preserve"> </w:t>
      </w:r>
      <w:r>
        <w:rPr>
          <w:rFonts w:ascii="Arial" w:hAnsi="Arial" w:cs="Arial"/>
        </w:rPr>
        <w:t xml:space="preserve">a </w:t>
      </w:r>
      <w:r w:rsidR="002438A8" w:rsidRPr="00282BBB">
        <w:rPr>
          <w:rFonts w:ascii="Arial" w:hAnsi="Arial" w:cs="Arial"/>
        </w:rPr>
        <w:t>right of entry refused, revoked or suspended</w:t>
      </w:r>
      <w:r>
        <w:rPr>
          <w:rFonts w:ascii="Arial" w:hAnsi="Arial" w:cs="Arial"/>
        </w:rPr>
        <w:t xml:space="preserve"> is a ground for disqualification</w:t>
      </w:r>
      <w:r w:rsidR="002438A8">
        <w:rPr>
          <w:rStyle w:val="FootnoteReference"/>
          <w:rFonts w:ascii="Arial" w:hAnsi="Arial" w:cs="Arial"/>
        </w:rPr>
        <w:footnoteReference w:id="11"/>
      </w:r>
      <w:r w:rsidR="002438A8" w:rsidRPr="00282BBB">
        <w:rPr>
          <w:rFonts w:ascii="Arial" w:hAnsi="Arial" w:cs="Arial"/>
        </w:rPr>
        <w:t>.</w:t>
      </w:r>
      <w:r w:rsidR="00723B07" w:rsidRPr="00282BBB">
        <w:rPr>
          <w:rFonts w:ascii="Arial" w:hAnsi="Arial" w:cs="Arial"/>
        </w:rPr>
        <w:t xml:space="preserve"> In applying for a right of entry permit, a union off</w:t>
      </w:r>
      <w:r w:rsidR="00922DFF">
        <w:rPr>
          <w:rFonts w:ascii="Arial" w:hAnsi="Arial" w:cs="Arial"/>
        </w:rPr>
        <w:t>icial is required to disclose</w:t>
      </w:r>
      <w:r w:rsidR="00723B07" w:rsidRPr="00282BBB">
        <w:rPr>
          <w:rFonts w:ascii="Arial" w:hAnsi="Arial" w:cs="Arial"/>
        </w:rPr>
        <w:t xml:space="preserve"> all prior offences including those now defined by the Bill as </w:t>
      </w:r>
      <w:r w:rsidR="00723B07" w:rsidRPr="00282BBB">
        <w:rPr>
          <w:rFonts w:ascii="Arial" w:hAnsi="Arial" w:cs="Arial"/>
          <w:i/>
        </w:rPr>
        <w:t>designated offences</w:t>
      </w:r>
      <w:r w:rsidR="00723B07" w:rsidRPr="00282BBB">
        <w:rPr>
          <w:rFonts w:ascii="Arial" w:hAnsi="Arial" w:cs="Arial"/>
        </w:rPr>
        <w:t>.</w:t>
      </w:r>
      <w:r w:rsidR="00282BBB">
        <w:rPr>
          <w:rFonts w:ascii="Arial" w:hAnsi="Arial" w:cs="Arial"/>
        </w:rPr>
        <w:t xml:space="preserve"> Under these </w:t>
      </w:r>
      <w:r w:rsidR="00282BBB">
        <w:rPr>
          <w:rFonts w:ascii="Arial" w:hAnsi="Arial" w:cs="Arial"/>
        </w:rPr>
        <w:lastRenderedPageBreak/>
        <w:t xml:space="preserve">amendments a refused, revoked or suspended right of entry could be used against an individual or union to trigger a disqualification application. </w:t>
      </w:r>
      <w:r w:rsidR="00723B07" w:rsidRPr="00282BBB">
        <w:rPr>
          <w:rFonts w:ascii="Arial" w:hAnsi="Arial" w:cs="Arial"/>
        </w:rPr>
        <w:t>Any application for disqualification based on right of entry</w:t>
      </w:r>
      <w:r w:rsidR="00282BBB">
        <w:rPr>
          <w:rFonts w:ascii="Arial" w:hAnsi="Arial" w:cs="Arial"/>
        </w:rPr>
        <w:t xml:space="preserve">, would </w:t>
      </w:r>
      <w:r w:rsidR="00723B07" w:rsidRPr="00282BBB">
        <w:rPr>
          <w:rFonts w:ascii="Arial" w:hAnsi="Arial" w:cs="Arial"/>
        </w:rPr>
        <w:t>allow for all relevant conduct</w:t>
      </w:r>
      <w:r w:rsidR="00282BBB">
        <w:rPr>
          <w:rFonts w:ascii="Arial" w:hAnsi="Arial" w:cs="Arial"/>
        </w:rPr>
        <w:t xml:space="preserve"> outlined in a right of entry application or decision</w:t>
      </w:r>
      <w:r w:rsidR="00723B07" w:rsidRPr="00282BBB">
        <w:rPr>
          <w:rFonts w:ascii="Arial" w:hAnsi="Arial" w:cs="Arial"/>
        </w:rPr>
        <w:t xml:space="preserve">, regardless of when it was committed, to be considered as grounds for </w:t>
      </w:r>
      <w:r w:rsidR="00282BBB" w:rsidRPr="00282BBB">
        <w:rPr>
          <w:rFonts w:ascii="Arial" w:hAnsi="Arial" w:cs="Arial"/>
        </w:rPr>
        <w:t>disqualification.</w:t>
      </w:r>
      <w:r w:rsidR="00922DFF">
        <w:rPr>
          <w:rFonts w:ascii="Arial" w:hAnsi="Arial" w:cs="Arial"/>
        </w:rPr>
        <w:t xml:space="preserve"> </w:t>
      </w:r>
      <w:r w:rsidR="001E1986">
        <w:rPr>
          <w:rFonts w:ascii="Arial" w:hAnsi="Arial" w:cs="Arial"/>
        </w:rPr>
        <w:br/>
      </w:r>
    </w:p>
    <w:p w14:paraId="0611CA31" w14:textId="1AD0BB84" w:rsidR="00336F4F" w:rsidRDefault="00922DFF" w:rsidP="00BA128A">
      <w:pPr>
        <w:pStyle w:val="ListParagraph"/>
        <w:numPr>
          <w:ilvl w:val="0"/>
          <w:numId w:val="5"/>
        </w:numPr>
        <w:spacing w:line="360" w:lineRule="auto"/>
        <w:rPr>
          <w:rFonts w:ascii="Arial" w:hAnsi="Arial" w:cs="Arial"/>
        </w:rPr>
      </w:pPr>
      <w:r>
        <w:rPr>
          <w:rFonts w:ascii="Arial" w:hAnsi="Arial" w:cs="Arial"/>
        </w:rPr>
        <w:t xml:space="preserve">Under the Bill’s amendments a </w:t>
      </w:r>
      <w:r w:rsidR="00282BBB">
        <w:rPr>
          <w:rFonts w:ascii="Arial" w:hAnsi="Arial" w:cs="Arial"/>
        </w:rPr>
        <w:t>r</w:t>
      </w:r>
      <w:r>
        <w:rPr>
          <w:rFonts w:ascii="Arial" w:hAnsi="Arial" w:cs="Arial"/>
        </w:rPr>
        <w:t xml:space="preserve">ight of entry decision could </w:t>
      </w:r>
      <w:r w:rsidR="00282BBB">
        <w:rPr>
          <w:rFonts w:ascii="Arial" w:hAnsi="Arial" w:cs="Arial"/>
        </w:rPr>
        <w:t>be used</w:t>
      </w:r>
      <w:r>
        <w:rPr>
          <w:rFonts w:ascii="Arial" w:hAnsi="Arial" w:cs="Arial"/>
        </w:rPr>
        <w:t xml:space="preserve"> maliciously</w:t>
      </w:r>
      <w:r w:rsidR="00282BBB">
        <w:rPr>
          <w:rFonts w:ascii="Arial" w:hAnsi="Arial" w:cs="Arial"/>
        </w:rPr>
        <w:t xml:space="preserve"> as </w:t>
      </w:r>
      <w:r w:rsidR="00DD252E">
        <w:rPr>
          <w:rFonts w:ascii="Arial" w:hAnsi="Arial" w:cs="Arial"/>
        </w:rPr>
        <w:t xml:space="preserve">a </w:t>
      </w:r>
      <w:r w:rsidR="00282BBB">
        <w:rPr>
          <w:rFonts w:ascii="Arial" w:hAnsi="Arial" w:cs="Arial"/>
        </w:rPr>
        <w:t>tool to disqualify a union official</w:t>
      </w:r>
      <w:r>
        <w:rPr>
          <w:rFonts w:ascii="Arial" w:hAnsi="Arial" w:cs="Arial"/>
        </w:rPr>
        <w:t xml:space="preserve"> from holding office. This may have the unintended consequence of deterring union officials from applying for or renewing their right of entry, out of</w:t>
      </w:r>
      <w:r w:rsidR="00BA128A">
        <w:rPr>
          <w:rFonts w:ascii="Arial" w:hAnsi="Arial" w:cs="Arial"/>
        </w:rPr>
        <w:t xml:space="preserve"> fea</w:t>
      </w:r>
      <w:r>
        <w:rPr>
          <w:rFonts w:ascii="Arial" w:hAnsi="Arial" w:cs="Arial"/>
        </w:rPr>
        <w:t>r of the broader ramifications of a negative decision.</w:t>
      </w:r>
      <w:r w:rsidR="00336F4F">
        <w:rPr>
          <w:rFonts w:ascii="Arial" w:hAnsi="Arial" w:cs="Arial"/>
        </w:rPr>
        <w:br/>
      </w:r>
    </w:p>
    <w:p w14:paraId="0193BB86" w14:textId="09D3879B" w:rsidR="00423E00" w:rsidRPr="00BA128A" w:rsidRDefault="00922DFF" w:rsidP="00BA128A">
      <w:pPr>
        <w:pStyle w:val="ListParagraph"/>
        <w:numPr>
          <w:ilvl w:val="0"/>
          <w:numId w:val="5"/>
        </w:numPr>
        <w:spacing w:line="360" w:lineRule="auto"/>
        <w:rPr>
          <w:rFonts w:ascii="Arial" w:hAnsi="Arial" w:cs="Arial"/>
        </w:rPr>
      </w:pPr>
      <w:r>
        <w:rPr>
          <w:rFonts w:ascii="Arial" w:hAnsi="Arial" w:cs="Arial"/>
        </w:rPr>
        <w:t xml:space="preserve"> </w:t>
      </w:r>
      <w:r w:rsidR="00336F4F">
        <w:rPr>
          <w:rFonts w:ascii="Arial" w:hAnsi="Arial" w:cs="Arial"/>
        </w:rPr>
        <w:t>T</w:t>
      </w:r>
      <w:r w:rsidR="00BA128A">
        <w:rPr>
          <w:rFonts w:ascii="Arial" w:hAnsi="Arial" w:cs="Arial"/>
        </w:rPr>
        <w:t xml:space="preserve">he Bill has the potential to be misused as a coercive mechanism </w:t>
      </w:r>
      <w:r>
        <w:rPr>
          <w:rFonts w:ascii="Arial" w:hAnsi="Arial" w:cs="Arial"/>
        </w:rPr>
        <w:t>to prevent</w:t>
      </w:r>
      <w:r w:rsidR="00BA128A">
        <w:rPr>
          <w:rFonts w:ascii="Arial" w:hAnsi="Arial" w:cs="Arial"/>
        </w:rPr>
        <w:t xml:space="preserve"> union officials from accessing a legal right to access workplaces</w:t>
      </w:r>
      <w:r>
        <w:rPr>
          <w:rFonts w:ascii="Arial" w:hAnsi="Arial" w:cs="Arial"/>
        </w:rPr>
        <w:t xml:space="preserve"> and speak to union members</w:t>
      </w:r>
      <w:r w:rsidR="00BA128A">
        <w:rPr>
          <w:rFonts w:ascii="Arial" w:hAnsi="Arial" w:cs="Arial"/>
        </w:rPr>
        <w:t>. The inclusion of right of entry decision</w:t>
      </w:r>
      <w:r w:rsidR="00336F4F">
        <w:rPr>
          <w:rFonts w:ascii="Arial" w:hAnsi="Arial" w:cs="Arial"/>
        </w:rPr>
        <w:t>s</w:t>
      </w:r>
      <w:r w:rsidR="00BA128A">
        <w:rPr>
          <w:rFonts w:ascii="Arial" w:hAnsi="Arial" w:cs="Arial"/>
        </w:rPr>
        <w:t xml:space="preserve"> as a </w:t>
      </w:r>
      <w:r>
        <w:rPr>
          <w:rFonts w:ascii="Arial" w:hAnsi="Arial" w:cs="Arial"/>
        </w:rPr>
        <w:t>ground for disqualification</w:t>
      </w:r>
      <w:r w:rsidR="00BA128A">
        <w:rPr>
          <w:rFonts w:ascii="Arial" w:hAnsi="Arial" w:cs="Arial"/>
        </w:rPr>
        <w:t xml:space="preserve"> undermines</w:t>
      </w:r>
      <w:r w:rsidR="00282BBB" w:rsidRPr="00BA128A">
        <w:rPr>
          <w:rFonts w:ascii="Arial" w:hAnsi="Arial" w:cs="Arial"/>
        </w:rPr>
        <w:t xml:space="preserve"> Item 1</w:t>
      </w:r>
      <w:r w:rsidR="00336F4F">
        <w:rPr>
          <w:rFonts w:ascii="Arial" w:hAnsi="Arial" w:cs="Arial"/>
        </w:rPr>
        <w:t>7</w:t>
      </w:r>
      <w:r w:rsidR="00282BBB" w:rsidRPr="00BA128A">
        <w:rPr>
          <w:rFonts w:ascii="Arial" w:hAnsi="Arial" w:cs="Arial"/>
        </w:rPr>
        <w:t xml:space="preserve"> </w:t>
      </w:r>
      <w:r>
        <w:rPr>
          <w:rFonts w:ascii="Arial" w:hAnsi="Arial" w:cs="Arial"/>
        </w:rPr>
        <w:t xml:space="preserve">of Schedule One, which specifically seeks to remove retrospectivity from the commencement of the Schedule. </w:t>
      </w:r>
      <w:r w:rsidR="00282BBB" w:rsidRPr="00BA128A">
        <w:rPr>
          <w:rFonts w:ascii="Arial" w:hAnsi="Arial" w:cs="Arial"/>
        </w:rPr>
        <w:br/>
      </w:r>
    </w:p>
    <w:p w14:paraId="1A1D87B7" w14:textId="69FF4813" w:rsidR="0012542F" w:rsidRPr="00336F4F" w:rsidRDefault="0029177E" w:rsidP="00D76A7B">
      <w:pPr>
        <w:pStyle w:val="ListParagraph"/>
        <w:numPr>
          <w:ilvl w:val="0"/>
          <w:numId w:val="5"/>
        </w:numPr>
        <w:spacing w:line="360" w:lineRule="auto"/>
        <w:rPr>
          <w:rFonts w:ascii="Arial" w:hAnsi="Arial" w:cs="Arial"/>
        </w:rPr>
      </w:pPr>
      <w:r>
        <w:rPr>
          <w:rFonts w:ascii="Arial" w:hAnsi="Arial" w:cs="Arial"/>
        </w:rPr>
        <w:t>When considering if a disqualification would be unjust the Court may consider ‘any other matters the Court considers relevant’</w:t>
      </w:r>
      <w:r>
        <w:rPr>
          <w:rStyle w:val="FootnoteReference"/>
          <w:rFonts w:ascii="Arial" w:hAnsi="Arial" w:cs="Arial"/>
        </w:rPr>
        <w:footnoteReference w:id="12"/>
      </w:r>
      <w:r>
        <w:rPr>
          <w:rFonts w:ascii="Arial" w:hAnsi="Arial" w:cs="Arial"/>
        </w:rPr>
        <w:t>. A union official’s action</w:t>
      </w:r>
      <w:r w:rsidR="00336F4F">
        <w:rPr>
          <w:rFonts w:ascii="Arial" w:hAnsi="Arial" w:cs="Arial"/>
        </w:rPr>
        <w:t>s</w:t>
      </w:r>
      <w:r>
        <w:rPr>
          <w:rFonts w:ascii="Arial" w:hAnsi="Arial" w:cs="Arial"/>
        </w:rPr>
        <w:t xml:space="preserve"> prior to the commencement of the </w:t>
      </w:r>
      <w:r w:rsidR="003D5DA2">
        <w:rPr>
          <w:rFonts w:ascii="Arial" w:hAnsi="Arial" w:cs="Arial"/>
        </w:rPr>
        <w:t>Bill</w:t>
      </w:r>
      <w:r>
        <w:rPr>
          <w:rFonts w:ascii="Arial" w:hAnsi="Arial" w:cs="Arial"/>
        </w:rPr>
        <w:t xml:space="preserve"> could be </w:t>
      </w:r>
      <w:proofErr w:type="gramStart"/>
      <w:r>
        <w:rPr>
          <w:rFonts w:ascii="Arial" w:hAnsi="Arial" w:cs="Arial"/>
        </w:rPr>
        <w:t>taken into account</w:t>
      </w:r>
      <w:proofErr w:type="gramEnd"/>
      <w:r>
        <w:rPr>
          <w:rFonts w:ascii="Arial" w:hAnsi="Arial" w:cs="Arial"/>
        </w:rPr>
        <w:t>.</w:t>
      </w:r>
      <w:r w:rsidR="00644261">
        <w:rPr>
          <w:rFonts w:ascii="Arial" w:hAnsi="Arial" w:cs="Arial"/>
        </w:rPr>
        <w:t xml:space="preserve"> </w:t>
      </w:r>
      <w:r w:rsidR="001E1986">
        <w:rPr>
          <w:rFonts w:ascii="Arial" w:hAnsi="Arial" w:cs="Arial"/>
        </w:rPr>
        <w:t xml:space="preserve">This undermines the Bill as it allows unions and union officials to be punished for </w:t>
      </w:r>
      <w:proofErr w:type="gramStart"/>
      <w:r w:rsidR="001E1986">
        <w:rPr>
          <w:rFonts w:ascii="Arial" w:hAnsi="Arial" w:cs="Arial"/>
        </w:rPr>
        <w:t>actions</w:t>
      </w:r>
      <w:proofErr w:type="gramEnd"/>
      <w:r w:rsidR="001E1986">
        <w:rPr>
          <w:rFonts w:ascii="Arial" w:hAnsi="Arial" w:cs="Arial"/>
        </w:rPr>
        <w:t xml:space="preserve"> they did not know </w:t>
      </w:r>
      <w:r w:rsidR="00DD252E">
        <w:rPr>
          <w:rFonts w:ascii="Arial" w:hAnsi="Arial" w:cs="Arial"/>
        </w:rPr>
        <w:t xml:space="preserve">the consequences of at the time they were committed. </w:t>
      </w:r>
    </w:p>
    <w:p w14:paraId="247F24D0" w14:textId="77777777" w:rsidR="00CD301A" w:rsidRDefault="00CD301A" w:rsidP="00D76A7B">
      <w:pPr>
        <w:spacing w:line="360" w:lineRule="auto"/>
        <w:rPr>
          <w:rFonts w:ascii="Arial" w:hAnsi="Arial" w:cs="Arial"/>
          <w:u w:val="single"/>
        </w:rPr>
      </w:pPr>
      <w:r w:rsidRPr="0029177E">
        <w:rPr>
          <w:rFonts w:ascii="Arial" w:hAnsi="Arial" w:cs="Arial"/>
          <w:u w:val="single"/>
        </w:rPr>
        <w:t>Interaction with dually registered organisation</w:t>
      </w:r>
    </w:p>
    <w:p w14:paraId="251AF4A5" w14:textId="30A322D5" w:rsidR="001E1986" w:rsidRDefault="0029177E" w:rsidP="001E1986">
      <w:pPr>
        <w:pStyle w:val="ListParagraph"/>
        <w:numPr>
          <w:ilvl w:val="0"/>
          <w:numId w:val="5"/>
        </w:numPr>
        <w:spacing w:line="360" w:lineRule="auto"/>
        <w:rPr>
          <w:rFonts w:ascii="Arial" w:hAnsi="Arial" w:cs="Arial"/>
        </w:rPr>
      </w:pPr>
      <w:r w:rsidRPr="001E1986">
        <w:rPr>
          <w:rFonts w:ascii="Arial" w:hAnsi="Arial" w:cs="Arial"/>
        </w:rPr>
        <w:t>The Bill sets out new offences in relation to standing for or holding office when disqualified.</w:t>
      </w:r>
      <w:r>
        <w:rPr>
          <w:rStyle w:val="FootnoteReference"/>
          <w:rFonts w:ascii="Arial" w:hAnsi="Arial" w:cs="Arial"/>
        </w:rPr>
        <w:footnoteReference w:id="13"/>
      </w:r>
      <w:r w:rsidR="00701584" w:rsidRPr="001E1986">
        <w:rPr>
          <w:rFonts w:ascii="Arial" w:hAnsi="Arial" w:cs="Arial"/>
        </w:rPr>
        <w:t xml:space="preserve"> The Bill creates a</w:t>
      </w:r>
      <w:r w:rsidR="00EA6562">
        <w:rPr>
          <w:rFonts w:ascii="Arial" w:hAnsi="Arial" w:cs="Arial"/>
        </w:rPr>
        <w:t xml:space="preserve"> new</w:t>
      </w:r>
      <w:r w:rsidR="00701584" w:rsidRPr="001E1986">
        <w:rPr>
          <w:rFonts w:ascii="Arial" w:hAnsi="Arial" w:cs="Arial"/>
        </w:rPr>
        <w:t xml:space="preserve"> offence if </w:t>
      </w:r>
      <w:r w:rsidRPr="001E1986">
        <w:rPr>
          <w:rFonts w:ascii="Arial" w:hAnsi="Arial" w:cs="Arial"/>
        </w:rPr>
        <w:t xml:space="preserve">a disqualified official </w:t>
      </w:r>
      <w:r w:rsidR="00701584" w:rsidRPr="001E1986">
        <w:rPr>
          <w:rFonts w:ascii="Arial" w:hAnsi="Arial" w:cs="Arial"/>
        </w:rPr>
        <w:t>‘</w:t>
      </w:r>
      <w:r w:rsidRPr="001E1986">
        <w:rPr>
          <w:rFonts w:ascii="Arial" w:hAnsi="Arial" w:cs="Arial"/>
        </w:rPr>
        <w:t>exercise</w:t>
      </w:r>
      <w:r w:rsidR="00701584" w:rsidRPr="001E1986">
        <w:rPr>
          <w:rFonts w:ascii="Arial" w:hAnsi="Arial" w:cs="Arial"/>
        </w:rPr>
        <w:t>s</w:t>
      </w:r>
      <w:r w:rsidRPr="001E1986">
        <w:rPr>
          <w:rFonts w:ascii="Arial" w:hAnsi="Arial" w:cs="Arial"/>
        </w:rPr>
        <w:t xml:space="preserve"> the capacity to significantly affect the financial  standing or other affairs of an organisation</w:t>
      </w:r>
      <w:r w:rsidR="00701584" w:rsidRPr="001E1986">
        <w:rPr>
          <w:rFonts w:ascii="Arial" w:hAnsi="Arial" w:cs="Arial"/>
        </w:rPr>
        <w:t xml:space="preserve"> or a part of an organisation</w:t>
      </w:r>
      <w:r w:rsidR="00701584">
        <w:rPr>
          <w:rStyle w:val="FootnoteReference"/>
          <w:rFonts w:ascii="Arial" w:hAnsi="Arial" w:cs="Arial"/>
        </w:rPr>
        <w:footnoteReference w:id="14"/>
      </w:r>
      <w:r w:rsidR="00701584" w:rsidRPr="001E1986">
        <w:rPr>
          <w:rFonts w:ascii="Arial" w:hAnsi="Arial" w:cs="Arial"/>
        </w:rPr>
        <w:t>’ or ‘gives directions … to the committee of management of an organisation or part of an organisation</w:t>
      </w:r>
      <w:r w:rsidR="00701584">
        <w:rPr>
          <w:rStyle w:val="FootnoteReference"/>
          <w:rFonts w:ascii="Arial" w:hAnsi="Arial" w:cs="Arial"/>
        </w:rPr>
        <w:footnoteReference w:id="15"/>
      </w:r>
      <w:r w:rsidR="00701584" w:rsidRPr="001E1986">
        <w:rPr>
          <w:rFonts w:ascii="Arial" w:hAnsi="Arial" w:cs="Arial"/>
        </w:rPr>
        <w:t xml:space="preserve">’. </w:t>
      </w:r>
      <w:r w:rsidR="001E1986">
        <w:rPr>
          <w:rFonts w:ascii="Arial" w:hAnsi="Arial" w:cs="Arial"/>
        </w:rPr>
        <w:br/>
      </w:r>
    </w:p>
    <w:p w14:paraId="64E26E1E" w14:textId="475C628B" w:rsidR="001E1986" w:rsidRDefault="002B6461" w:rsidP="001E1986">
      <w:pPr>
        <w:pStyle w:val="ListParagraph"/>
        <w:numPr>
          <w:ilvl w:val="0"/>
          <w:numId w:val="5"/>
        </w:numPr>
        <w:spacing w:line="360" w:lineRule="auto"/>
        <w:rPr>
          <w:rFonts w:ascii="Arial" w:hAnsi="Arial" w:cs="Arial"/>
        </w:rPr>
      </w:pPr>
      <w:r w:rsidRPr="001E1986">
        <w:rPr>
          <w:rFonts w:ascii="Arial" w:hAnsi="Arial" w:cs="Arial"/>
        </w:rPr>
        <w:t xml:space="preserve">It is unclear how these new offences will interact </w:t>
      </w:r>
      <w:r w:rsidR="00720E07" w:rsidRPr="001E1986">
        <w:rPr>
          <w:rFonts w:ascii="Arial" w:hAnsi="Arial" w:cs="Arial"/>
        </w:rPr>
        <w:t>with</w:t>
      </w:r>
      <w:r w:rsidRPr="001E1986">
        <w:rPr>
          <w:rFonts w:ascii="Arial" w:hAnsi="Arial" w:cs="Arial"/>
        </w:rPr>
        <w:t xml:space="preserve"> union structures that</w:t>
      </w:r>
      <w:r w:rsidR="00720E07" w:rsidRPr="001E1986">
        <w:rPr>
          <w:rFonts w:ascii="Arial" w:hAnsi="Arial" w:cs="Arial"/>
        </w:rPr>
        <w:t xml:space="preserve"> have</w:t>
      </w:r>
      <w:r w:rsidRPr="001E1986">
        <w:rPr>
          <w:rFonts w:ascii="Arial" w:hAnsi="Arial" w:cs="Arial"/>
        </w:rPr>
        <w:t xml:space="preserve"> dual registration at the Federal and State level</w:t>
      </w:r>
      <w:r w:rsidR="00701584" w:rsidRPr="001E1986">
        <w:rPr>
          <w:rFonts w:ascii="Arial" w:hAnsi="Arial" w:cs="Arial"/>
        </w:rPr>
        <w:t>.</w:t>
      </w:r>
      <w:r w:rsidR="00272A6E" w:rsidRPr="001E1986">
        <w:rPr>
          <w:rFonts w:ascii="Arial" w:hAnsi="Arial" w:cs="Arial"/>
        </w:rPr>
        <w:t xml:space="preserve"> For example, some unions in NSW operate as dually registered organisations. They are federally registered as a state </w:t>
      </w:r>
      <w:r w:rsidR="00272A6E" w:rsidRPr="001E1986">
        <w:rPr>
          <w:rFonts w:ascii="Arial" w:hAnsi="Arial" w:cs="Arial"/>
        </w:rPr>
        <w:lastRenderedPageBreak/>
        <w:t xml:space="preserve">branch of the federal union and they are also registered as a union </w:t>
      </w:r>
      <w:proofErr w:type="gramStart"/>
      <w:r w:rsidR="00272A6E" w:rsidRPr="001E1986">
        <w:rPr>
          <w:rFonts w:ascii="Arial" w:hAnsi="Arial" w:cs="Arial"/>
        </w:rPr>
        <w:t>in their own right in</w:t>
      </w:r>
      <w:proofErr w:type="gramEnd"/>
      <w:r w:rsidR="00272A6E" w:rsidRPr="001E1986">
        <w:rPr>
          <w:rFonts w:ascii="Arial" w:hAnsi="Arial" w:cs="Arial"/>
        </w:rPr>
        <w:t xml:space="preserve"> the NSW system. Under this structure, </w:t>
      </w:r>
      <w:r w:rsidRPr="001E1986">
        <w:rPr>
          <w:rFonts w:ascii="Arial" w:hAnsi="Arial" w:cs="Arial"/>
        </w:rPr>
        <w:t>ma</w:t>
      </w:r>
      <w:r w:rsidR="00644261" w:rsidRPr="001E1986">
        <w:rPr>
          <w:rFonts w:ascii="Arial" w:hAnsi="Arial" w:cs="Arial"/>
        </w:rPr>
        <w:t>n</w:t>
      </w:r>
      <w:r w:rsidRPr="001E1986">
        <w:rPr>
          <w:rFonts w:ascii="Arial" w:hAnsi="Arial" w:cs="Arial"/>
        </w:rPr>
        <w:t xml:space="preserve">y </w:t>
      </w:r>
      <w:r w:rsidR="00272A6E" w:rsidRPr="001E1986">
        <w:rPr>
          <w:rFonts w:ascii="Arial" w:hAnsi="Arial" w:cs="Arial"/>
        </w:rPr>
        <w:t xml:space="preserve">unions have two separate entities </w:t>
      </w:r>
      <w:r w:rsidRPr="001E1986">
        <w:rPr>
          <w:rFonts w:ascii="Arial" w:hAnsi="Arial" w:cs="Arial"/>
        </w:rPr>
        <w:t>(the federal branch and the state union)</w:t>
      </w:r>
      <w:r w:rsidR="001E1986">
        <w:rPr>
          <w:rFonts w:ascii="Arial" w:hAnsi="Arial" w:cs="Arial"/>
        </w:rPr>
        <w:t xml:space="preserve"> which hav</w:t>
      </w:r>
      <w:r w:rsidRPr="001E1986">
        <w:rPr>
          <w:rFonts w:ascii="Arial" w:hAnsi="Arial" w:cs="Arial"/>
        </w:rPr>
        <w:t>e a common</w:t>
      </w:r>
      <w:r w:rsidR="001E1986" w:rsidRPr="001E1986">
        <w:rPr>
          <w:rFonts w:ascii="Arial" w:hAnsi="Arial" w:cs="Arial"/>
        </w:rPr>
        <w:t xml:space="preserve"> elected leadership and staff. I</w:t>
      </w:r>
      <w:r w:rsidR="00272A6E" w:rsidRPr="001E1986">
        <w:rPr>
          <w:rFonts w:ascii="Arial" w:hAnsi="Arial" w:cs="Arial"/>
        </w:rPr>
        <w:t xml:space="preserve">f a union official is disqualified from holding office </w:t>
      </w:r>
      <w:r w:rsidR="003D5DA2">
        <w:rPr>
          <w:rFonts w:ascii="Arial" w:hAnsi="Arial" w:cs="Arial"/>
        </w:rPr>
        <w:t>under this Bill</w:t>
      </w:r>
      <w:r w:rsidR="001E1986" w:rsidRPr="001E1986">
        <w:rPr>
          <w:rFonts w:ascii="Arial" w:hAnsi="Arial" w:cs="Arial"/>
        </w:rPr>
        <w:t xml:space="preserve">, they may step down from their position in the federal </w:t>
      </w:r>
      <w:proofErr w:type="gramStart"/>
      <w:r w:rsidR="001E1986" w:rsidRPr="001E1986">
        <w:rPr>
          <w:rFonts w:ascii="Arial" w:hAnsi="Arial" w:cs="Arial"/>
        </w:rPr>
        <w:t>branch, yet</w:t>
      </w:r>
      <w:proofErr w:type="gramEnd"/>
      <w:r w:rsidR="001E1986" w:rsidRPr="001E1986">
        <w:rPr>
          <w:rFonts w:ascii="Arial" w:hAnsi="Arial" w:cs="Arial"/>
        </w:rPr>
        <w:t xml:space="preserve"> continue to be an official in the state registered union. Under </w:t>
      </w:r>
      <w:r w:rsidR="003D5DA2">
        <w:rPr>
          <w:rFonts w:ascii="Arial" w:hAnsi="Arial" w:cs="Arial"/>
        </w:rPr>
        <w:t xml:space="preserve">the proposed </w:t>
      </w:r>
      <w:r w:rsidR="001E1986" w:rsidRPr="001E1986">
        <w:rPr>
          <w:rFonts w:ascii="Arial" w:hAnsi="Arial" w:cs="Arial"/>
        </w:rPr>
        <w:t>s22</w:t>
      </w:r>
      <w:r w:rsidR="00EA6562">
        <w:rPr>
          <w:rFonts w:ascii="Arial" w:hAnsi="Arial" w:cs="Arial"/>
        </w:rPr>
        <w:t>6</w:t>
      </w:r>
      <w:r w:rsidR="001E1986" w:rsidRPr="001E1986">
        <w:rPr>
          <w:rFonts w:ascii="Arial" w:hAnsi="Arial" w:cs="Arial"/>
        </w:rPr>
        <w:t xml:space="preserve">, </w:t>
      </w:r>
      <w:r w:rsidR="001E1986">
        <w:rPr>
          <w:rFonts w:ascii="Arial" w:hAnsi="Arial" w:cs="Arial"/>
        </w:rPr>
        <w:t>maintaining a position in the state registered union</w:t>
      </w:r>
      <w:r w:rsidR="001E1986" w:rsidRPr="001E1986">
        <w:rPr>
          <w:rFonts w:ascii="Arial" w:hAnsi="Arial" w:cs="Arial"/>
        </w:rPr>
        <w:t xml:space="preserve"> </w:t>
      </w:r>
      <w:r w:rsidR="001E1986">
        <w:rPr>
          <w:rFonts w:ascii="Arial" w:hAnsi="Arial" w:cs="Arial"/>
        </w:rPr>
        <w:t xml:space="preserve">would be </w:t>
      </w:r>
      <w:r w:rsidR="001E1986" w:rsidRPr="001E1986">
        <w:rPr>
          <w:rFonts w:ascii="Arial" w:hAnsi="Arial" w:cs="Arial"/>
        </w:rPr>
        <w:t>considered an offence,</w:t>
      </w:r>
      <w:r w:rsidR="001E1986">
        <w:rPr>
          <w:rFonts w:ascii="Arial" w:hAnsi="Arial" w:cs="Arial"/>
        </w:rPr>
        <w:t xml:space="preserve"> punishable by up to 2 years imprisonment. </w:t>
      </w:r>
      <w:r w:rsidR="001E1986">
        <w:rPr>
          <w:rFonts w:ascii="Arial" w:hAnsi="Arial" w:cs="Arial"/>
        </w:rPr>
        <w:br/>
      </w:r>
    </w:p>
    <w:p w14:paraId="61B44361" w14:textId="5707FE68" w:rsidR="003B2611" w:rsidRPr="001E1986" w:rsidRDefault="001E1986" w:rsidP="001E1986">
      <w:pPr>
        <w:pStyle w:val="ListParagraph"/>
        <w:numPr>
          <w:ilvl w:val="0"/>
          <w:numId w:val="5"/>
        </w:numPr>
        <w:spacing w:line="360" w:lineRule="auto"/>
        <w:rPr>
          <w:rFonts w:ascii="Arial" w:hAnsi="Arial" w:cs="Arial"/>
        </w:rPr>
      </w:pPr>
      <w:r w:rsidRPr="001E1986">
        <w:rPr>
          <w:rFonts w:ascii="Arial" w:hAnsi="Arial" w:cs="Arial"/>
        </w:rPr>
        <w:t>The Bill effectively punish</w:t>
      </w:r>
      <w:r>
        <w:rPr>
          <w:rFonts w:ascii="Arial" w:hAnsi="Arial" w:cs="Arial"/>
        </w:rPr>
        <w:t>es</w:t>
      </w:r>
      <w:r w:rsidRPr="001E1986">
        <w:rPr>
          <w:rFonts w:ascii="Arial" w:hAnsi="Arial" w:cs="Arial"/>
        </w:rPr>
        <w:t xml:space="preserve"> union officials who seek to exercise their right to hold office under relevant state legislation. This is a significant overreach of the legislation and is illustrative of why transplanting corporations law into the </w:t>
      </w:r>
      <w:r w:rsidRPr="003D5DA2">
        <w:rPr>
          <w:rFonts w:ascii="Arial" w:hAnsi="Arial" w:cs="Arial"/>
          <w:i/>
        </w:rPr>
        <w:t>R</w:t>
      </w:r>
      <w:r w:rsidR="003D5DA2" w:rsidRPr="003D5DA2">
        <w:rPr>
          <w:rFonts w:ascii="Arial" w:hAnsi="Arial" w:cs="Arial"/>
          <w:i/>
        </w:rPr>
        <w:t>egistered Organisations</w:t>
      </w:r>
      <w:r w:rsidRPr="003D5DA2">
        <w:rPr>
          <w:rFonts w:ascii="Arial" w:hAnsi="Arial" w:cs="Arial"/>
          <w:i/>
        </w:rPr>
        <w:t xml:space="preserve"> Act</w:t>
      </w:r>
      <w:r w:rsidRPr="001E1986">
        <w:rPr>
          <w:rFonts w:ascii="Arial" w:hAnsi="Arial" w:cs="Arial"/>
        </w:rPr>
        <w:t xml:space="preserve"> is ill conceived and not fit for purpose.</w:t>
      </w:r>
    </w:p>
    <w:p w14:paraId="5B89D979" w14:textId="77777777" w:rsidR="003B2611" w:rsidRDefault="003B2611" w:rsidP="003B2611">
      <w:pPr>
        <w:spacing w:line="360" w:lineRule="auto"/>
        <w:rPr>
          <w:rFonts w:ascii="Arial" w:hAnsi="Arial" w:cs="Arial"/>
          <w:u w:val="single"/>
        </w:rPr>
      </w:pPr>
      <w:r>
        <w:rPr>
          <w:rFonts w:ascii="Arial" w:hAnsi="Arial" w:cs="Arial"/>
          <w:u w:val="single"/>
        </w:rPr>
        <w:t>Reverse onus of proof</w:t>
      </w:r>
    </w:p>
    <w:p w14:paraId="5268CCC0" w14:textId="5B4F3505" w:rsidR="00374ABC" w:rsidRDefault="00DD252E" w:rsidP="00C73781">
      <w:pPr>
        <w:pStyle w:val="ListParagraph"/>
        <w:numPr>
          <w:ilvl w:val="0"/>
          <w:numId w:val="5"/>
        </w:numPr>
        <w:spacing w:line="360" w:lineRule="auto"/>
        <w:rPr>
          <w:rFonts w:ascii="Arial" w:hAnsi="Arial" w:cs="Arial"/>
        </w:rPr>
      </w:pPr>
      <w:r>
        <w:rPr>
          <w:rFonts w:ascii="Arial" w:hAnsi="Arial" w:cs="Arial"/>
        </w:rPr>
        <w:t>If a</w:t>
      </w:r>
      <w:r w:rsidR="00374ABC" w:rsidRPr="00374ABC">
        <w:rPr>
          <w:rFonts w:ascii="Arial" w:hAnsi="Arial" w:cs="Arial"/>
        </w:rPr>
        <w:t xml:space="preserve"> ground for disqualification has been satisfied, before making an order, </w:t>
      </w:r>
      <w:r w:rsidR="003B2611" w:rsidRPr="00374ABC">
        <w:rPr>
          <w:rFonts w:ascii="Arial" w:hAnsi="Arial" w:cs="Arial"/>
        </w:rPr>
        <w:t xml:space="preserve">the Court </w:t>
      </w:r>
      <w:r w:rsidR="00374ABC" w:rsidRPr="00374ABC">
        <w:rPr>
          <w:rFonts w:ascii="Arial" w:hAnsi="Arial" w:cs="Arial"/>
        </w:rPr>
        <w:t>must</w:t>
      </w:r>
      <w:r w:rsidR="002B6461">
        <w:rPr>
          <w:rFonts w:ascii="Arial" w:hAnsi="Arial" w:cs="Arial"/>
        </w:rPr>
        <w:t xml:space="preserve"> determine that i</w:t>
      </w:r>
      <w:r w:rsidR="00644261">
        <w:rPr>
          <w:rFonts w:ascii="Arial" w:hAnsi="Arial" w:cs="Arial"/>
        </w:rPr>
        <w:t>t</w:t>
      </w:r>
      <w:r w:rsidR="002B6461">
        <w:rPr>
          <w:rFonts w:ascii="Arial" w:hAnsi="Arial" w:cs="Arial"/>
        </w:rPr>
        <w:t xml:space="preserve"> </w:t>
      </w:r>
      <w:r w:rsidR="003B2611" w:rsidRPr="00374ABC">
        <w:rPr>
          <w:rFonts w:ascii="Arial" w:hAnsi="Arial" w:cs="Arial"/>
        </w:rPr>
        <w:t>‘does not consider it would be unjust to disqualify the person</w:t>
      </w:r>
      <w:r w:rsidR="003B2611">
        <w:rPr>
          <w:rStyle w:val="FootnoteReference"/>
          <w:rFonts w:ascii="Arial" w:hAnsi="Arial" w:cs="Arial"/>
        </w:rPr>
        <w:footnoteReference w:id="16"/>
      </w:r>
      <w:r w:rsidR="003B2611" w:rsidRPr="00374ABC">
        <w:rPr>
          <w:rFonts w:ascii="Arial" w:hAnsi="Arial" w:cs="Arial"/>
        </w:rPr>
        <w:t>’</w:t>
      </w:r>
      <w:r w:rsidR="00C73781" w:rsidRPr="00374ABC">
        <w:rPr>
          <w:rFonts w:ascii="Arial" w:hAnsi="Arial" w:cs="Arial"/>
        </w:rPr>
        <w:t>. Under the current legislation, the court is required to be ‘satisfied that the disqualification is justified</w:t>
      </w:r>
      <w:r w:rsidR="00374ABC" w:rsidRPr="00374ABC">
        <w:rPr>
          <w:rFonts w:ascii="Arial" w:hAnsi="Arial" w:cs="Arial"/>
        </w:rPr>
        <w:t>’ before ordering disqualification</w:t>
      </w:r>
      <w:r w:rsidR="00C73781">
        <w:rPr>
          <w:rStyle w:val="FootnoteReference"/>
          <w:rFonts w:ascii="Arial" w:hAnsi="Arial" w:cs="Arial"/>
        </w:rPr>
        <w:footnoteReference w:id="17"/>
      </w:r>
      <w:r w:rsidR="00374ABC" w:rsidRPr="00374ABC">
        <w:rPr>
          <w:rFonts w:ascii="Arial" w:hAnsi="Arial" w:cs="Arial"/>
        </w:rPr>
        <w:t>. The Bill reverses the onus of proof</w:t>
      </w:r>
      <w:r w:rsidR="00644261">
        <w:rPr>
          <w:rFonts w:ascii="Arial" w:hAnsi="Arial" w:cs="Arial"/>
        </w:rPr>
        <w:t>. It r</w:t>
      </w:r>
      <w:r w:rsidR="00374ABC" w:rsidRPr="00374ABC">
        <w:rPr>
          <w:rFonts w:ascii="Arial" w:hAnsi="Arial" w:cs="Arial"/>
        </w:rPr>
        <w:t>equir</w:t>
      </w:r>
      <w:r w:rsidR="00644261">
        <w:rPr>
          <w:rFonts w:ascii="Arial" w:hAnsi="Arial" w:cs="Arial"/>
        </w:rPr>
        <w:t>es</w:t>
      </w:r>
      <w:r w:rsidR="00374ABC" w:rsidRPr="00374ABC">
        <w:rPr>
          <w:rFonts w:ascii="Arial" w:hAnsi="Arial" w:cs="Arial"/>
        </w:rPr>
        <w:t xml:space="preserve"> a union official to stand before a court and justify their role within their union</w:t>
      </w:r>
      <w:r w:rsidR="00644261">
        <w:rPr>
          <w:rFonts w:ascii="Arial" w:hAnsi="Arial" w:cs="Arial"/>
        </w:rPr>
        <w:t>. This is</w:t>
      </w:r>
      <w:r w:rsidR="00374ABC" w:rsidRPr="00374ABC">
        <w:rPr>
          <w:rFonts w:ascii="Arial" w:hAnsi="Arial" w:cs="Arial"/>
        </w:rPr>
        <w:t xml:space="preserve"> despite the fact they </w:t>
      </w:r>
      <w:r w:rsidR="00644261">
        <w:rPr>
          <w:rFonts w:ascii="Arial" w:hAnsi="Arial" w:cs="Arial"/>
        </w:rPr>
        <w:t>have been</w:t>
      </w:r>
      <w:r w:rsidR="00374ABC" w:rsidRPr="00374ABC">
        <w:rPr>
          <w:rFonts w:ascii="Arial" w:hAnsi="Arial" w:cs="Arial"/>
        </w:rPr>
        <w:t xml:space="preserve"> elected into the position by the union members they represent. </w:t>
      </w:r>
      <w:r w:rsidR="002B6461">
        <w:rPr>
          <w:rFonts w:ascii="Arial" w:hAnsi="Arial" w:cs="Arial"/>
        </w:rPr>
        <w:t>There is no justification for</w:t>
      </w:r>
      <w:r w:rsidR="00374ABC">
        <w:rPr>
          <w:rFonts w:ascii="Arial" w:hAnsi="Arial" w:cs="Arial"/>
        </w:rPr>
        <w:t xml:space="preserve"> this significant shift in the onus of proof, yet it will have a significant impact on the treatment of unions and their elected representatives before the courts.</w:t>
      </w:r>
      <w:r w:rsidR="00413D1D">
        <w:rPr>
          <w:rFonts w:ascii="Arial" w:hAnsi="Arial" w:cs="Arial"/>
        </w:rPr>
        <w:t xml:space="preserve"> The reverse onus of proof is particularly concerning, given the low threshold required for disqualification.</w:t>
      </w:r>
      <w:r w:rsidR="00374ABC">
        <w:rPr>
          <w:rFonts w:ascii="Arial" w:hAnsi="Arial" w:cs="Arial"/>
        </w:rPr>
        <w:t xml:space="preserve"> </w:t>
      </w:r>
    </w:p>
    <w:p w14:paraId="1983BAC4" w14:textId="77777777" w:rsidR="00B212C6" w:rsidRDefault="003B2611" w:rsidP="003B2611">
      <w:pPr>
        <w:spacing w:line="360" w:lineRule="auto"/>
        <w:rPr>
          <w:rFonts w:ascii="Arial" w:hAnsi="Arial" w:cs="Arial"/>
          <w:u w:val="single"/>
        </w:rPr>
      </w:pPr>
      <w:r>
        <w:rPr>
          <w:rFonts w:ascii="Arial" w:hAnsi="Arial" w:cs="Arial"/>
          <w:u w:val="single"/>
        </w:rPr>
        <w:t>Expanded standing</w:t>
      </w:r>
    </w:p>
    <w:p w14:paraId="6DA0C2F3" w14:textId="77777777" w:rsidR="00AA334F" w:rsidRDefault="00AA334F" w:rsidP="0036667E">
      <w:pPr>
        <w:pStyle w:val="ListParagraph"/>
        <w:numPr>
          <w:ilvl w:val="0"/>
          <w:numId w:val="5"/>
        </w:numPr>
        <w:spacing w:line="360" w:lineRule="auto"/>
        <w:rPr>
          <w:rFonts w:ascii="Arial" w:hAnsi="Arial" w:cs="Arial"/>
        </w:rPr>
      </w:pPr>
      <w:r>
        <w:rPr>
          <w:rFonts w:ascii="Arial" w:hAnsi="Arial" w:cs="Arial"/>
        </w:rPr>
        <w:t>The Bill provides that an application for a disqualification order can be made by the Commissioner, the Minister or a person with significant interest</w:t>
      </w:r>
      <w:r>
        <w:rPr>
          <w:rStyle w:val="FootnoteReference"/>
          <w:rFonts w:ascii="Arial" w:hAnsi="Arial" w:cs="Arial"/>
        </w:rPr>
        <w:footnoteReference w:id="18"/>
      </w:r>
      <w:r>
        <w:rPr>
          <w:rFonts w:ascii="Arial" w:hAnsi="Arial" w:cs="Arial"/>
        </w:rPr>
        <w:t xml:space="preserve">. A person of ‘significant interest’ </w:t>
      </w:r>
      <w:r w:rsidR="002B6461">
        <w:rPr>
          <w:rFonts w:ascii="Arial" w:hAnsi="Arial" w:cs="Arial"/>
        </w:rPr>
        <w:t xml:space="preserve">is not defined by the legislation and </w:t>
      </w:r>
      <w:r>
        <w:rPr>
          <w:rFonts w:ascii="Arial" w:hAnsi="Arial" w:cs="Arial"/>
        </w:rPr>
        <w:t>could include an employer, employer representative, corporate players in the broader industry or su</w:t>
      </w:r>
      <w:r w:rsidR="002B6461">
        <w:rPr>
          <w:rFonts w:ascii="Arial" w:hAnsi="Arial" w:cs="Arial"/>
        </w:rPr>
        <w:t>pply chain, political opponents and/or</w:t>
      </w:r>
      <w:r>
        <w:rPr>
          <w:rFonts w:ascii="Arial" w:hAnsi="Arial" w:cs="Arial"/>
        </w:rPr>
        <w:t xml:space="preserve"> opposing candidates in a union election. The Bill provides no safeguards against frivolous and/or vexatious applications. Unions and union </w:t>
      </w:r>
      <w:r>
        <w:rPr>
          <w:rFonts w:ascii="Arial" w:hAnsi="Arial" w:cs="Arial"/>
        </w:rPr>
        <w:lastRenderedPageBreak/>
        <w:t>officials could find them</w:t>
      </w:r>
      <w:r w:rsidR="00896AF6">
        <w:rPr>
          <w:rFonts w:ascii="Arial" w:hAnsi="Arial" w:cs="Arial"/>
        </w:rPr>
        <w:t xml:space="preserve">selves tied up in expensive, </w:t>
      </w:r>
      <w:r>
        <w:rPr>
          <w:rFonts w:ascii="Arial" w:hAnsi="Arial" w:cs="Arial"/>
        </w:rPr>
        <w:t xml:space="preserve">time consuming litigation, used as a tool by opponents to undermine union work.  </w:t>
      </w:r>
    </w:p>
    <w:p w14:paraId="4B63C4A3" w14:textId="77777777" w:rsidR="00896AF6" w:rsidRDefault="00896AF6" w:rsidP="00896AF6">
      <w:pPr>
        <w:pStyle w:val="ListParagraph"/>
        <w:spacing w:line="360" w:lineRule="auto"/>
        <w:rPr>
          <w:rFonts w:ascii="Arial" w:hAnsi="Arial" w:cs="Arial"/>
        </w:rPr>
      </w:pPr>
    </w:p>
    <w:p w14:paraId="4D7B6B78" w14:textId="7FC08011" w:rsidR="00896AF6" w:rsidRPr="00413D1D" w:rsidRDefault="00896AF6" w:rsidP="00896AF6">
      <w:pPr>
        <w:pStyle w:val="ListParagraph"/>
        <w:numPr>
          <w:ilvl w:val="0"/>
          <w:numId w:val="5"/>
        </w:numPr>
        <w:spacing w:line="360" w:lineRule="auto"/>
        <w:rPr>
          <w:rFonts w:ascii="Arial" w:hAnsi="Arial" w:cs="Arial"/>
          <w:b/>
          <w:u w:val="single"/>
        </w:rPr>
      </w:pPr>
      <w:r>
        <w:rPr>
          <w:rFonts w:ascii="Arial" w:hAnsi="Arial" w:cs="Arial"/>
        </w:rPr>
        <w:t xml:space="preserve">The Bill does not provide limits on who an application can be made against. While the Court </w:t>
      </w:r>
      <w:proofErr w:type="gramStart"/>
      <w:r>
        <w:rPr>
          <w:rFonts w:ascii="Arial" w:hAnsi="Arial" w:cs="Arial"/>
        </w:rPr>
        <w:t>is able to</w:t>
      </w:r>
      <w:proofErr w:type="gramEnd"/>
      <w:r>
        <w:rPr>
          <w:rFonts w:ascii="Arial" w:hAnsi="Arial" w:cs="Arial"/>
        </w:rPr>
        <w:t xml:space="preserve"> consider whether an individual should be disqualified from holding or standing for office, there is no requirement for</w:t>
      </w:r>
      <w:r w:rsidR="00DD252E">
        <w:rPr>
          <w:rFonts w:ascii="Arial" w:hAnsi="Arial" w:cs="Arial"/>
        </w:rPr>
        <w:t xml:space="preserve"> that individual to currently hold</w:t>
      </w:r>
      <w:r>
        <w:rPr>
          <w:rFonts w:ascii="Arial" w:hAnsi="Arial" w:cs="Arial"/>
        </w:rPr>
        <w:t xml:space="preserve"> or even </w:t>
      </w:r>
      <w:r w:rsidR="003D5DA2">
        <w:rPr>
          <w:rFonts w:ascii="Arial" w:hAnsi="Arial" w:cs="Arial"/>
        </w:rPr>
        <w:t xml:space="preserve">be </w:t>
      </w:r>
      <w:r>
        <w:rPr>
          <w:rFonts w:ascii="Arial" w:hAnsi="Arial" w:cs="Arial"/>
        </w:rPr>
        <w:t>intending to hold office. This further expands the potential for employer</w:t>
      </w:r>
      <w:r w:rsidR="003D5DA2">
        <w:rPr>
          <w:rFonts w:ascii="Arial" w:hAnsi="Arial" w:cs="Arial"/>
        </w:rPr>
        <w:t>s</w:t>
      </w:r>
      <w:r>
        <w:rPr>
          <w:rFonts w:ascii="Arial" w:hAnsi="Arial" w:cs="Arial"/>
        </w:rPr>
        <w:t xml:space="preserve"> or political opponents to tie unions up in unwarranted litigation for the purpose of undermining their work. </w:t>
      </w:r>
    </w:p>
    <w:p w14:paraId="22C90EBF" w14:textId="77777777" w:rsidR="00413D1D" w:rsidRPr="00413D1D" w:rsidRDefault="00413D1D" w:rsidP="00413D1D">
      <w:pPr>
        <w:pStyle w:val="ListParagraph"/>
        <w:rPr>
          <w:rFonts w:ascii="Arial" w:hAnsi="Arial" w:cs="Arial"/>
          <w:b/>
          <w:u w:val="single"/>
        </w:rPr>
      </w:pPr>
    </w:p>
    <w:p w14:paraId="742DF97C" w14:textId="67D81F21" w:rsidR="00413D1D" w:rsidRPr="00896AF6" w:rsidRDefault="00691DFA" w:rsidP="00896AF6">
      <w:pPr>
        <w:pStyle w:val="ListParagraph"/>
        <w:numPr>
          <w:ilvl w:val="0"/>
          <w:numId w:val="5"/>
        </w:numPr>
        <w:spacing w:line="360" w:lineRule="auto"/>
        <w:rPr>
          <w:rFonts w:ascii="Arial" w:hAnsi="Arial" w:cs="Arial"/>
          <w:b/>
          <w:u w:val="single"/>
        </w:rPr>
      </w:pPr>
      <w:r>
        <w:rPr>
          <w:rFonts w:ascii="Arial" w:hAnsi="Arial" w:cs="Arial"/>
        </w:rPr>
        <w:t xml:space="preserve">The expanded restrictions this Bill places on office holders is not restricted to employees of unions. The RO Act definition of </w:t>
      </w:r>
      <w:r>
        <w:rPr>
          <w:rFonts w:ascii="Arial" w:hAnsi="Arial" w:cs="Arial"/>
          <w:i/>
        </w:rPr>
        <w:t xml:space="preserve">office holder </w:t>
      </w:r>
      <w:r>
        <w:rPr>
          <w:rFonts w:ascii="Arial" w:hAnsi="Arial" w:cs="Arial"/>
        </w:rPr>
        <w:t>is broad and could include committee of management members or honorary positions within the union</w:t>
      </w:r>
      <w:r w:rsidR="001B7DCE">
        <w:rPr>
          <w:rStyle w:val="FootnoteReference"/>
          <w:rFonts w:ascii="Arial" w:hAnsi="Arial" w:cs="Arial"/>
        </w:rPr>
        <w:footnoteReference w:id="19"/>
      </w:r>
      <w:r>
        <w:rPr>
          <w:rFonts w:ascii="Arial" w:hAnsi="Arial" w:cs="Arial"/>
        </w:rPr>
        <w:t xml:space="preserve">. Often in unions these positions are filled by active and long-term members of the union who hold positions as part of the democratic and representative nature of their union. These members may now be exposed to prison sentences for up to 2 years if they hold an honorary position after being disqualified. </w:t>
      </w:r>
      <w:r w:rsidR="001B7DCE">
        <w:rPr>
          <w:rFonts w:ascii="Arial" w:hAnsi="Arial" w:cs="Arial"/>
        </w:rPr>
        <w:t>Active participation in your union</w:t>
      </w:r>
      <w:r w:rsidR="003D5DA2">
        <w:rPr>
          <w:rFonts w:ascii="Arial" w:hAnsi="Arial" w:cs="Arial"/>
        </w:rPr>
        <w:t xml:space="preserve"> </w:t>
      </w:r>
      <w:r w:rsidR="001B7DCE">
        <w:rPr>
          <w:rFonts w:ascii="Arial" w:hAnsi="Arial" w:cs="Arial"/>
        </w:rPr>
        <w:t xml:space="preserve">should not be discouraged by potential prison sentences. </w:t>
      </w:r>
    </w:p>
    <w:p w14:paraId="12D6B4A9" w14:textId="77777777" w:rsidR="00896AF6" w:rsidRPr="00896AF6" w:rsidRDefault="00896AF6" w:rsidP="00896AF6">
      <w:pPr>
        <w:pStyle w:val="ListParagraph"/>
        <w:rPr>
          <w:rFonts w:ascii="Arial" w:hAnsi="Arial" w:cs="Arial"/>
          <w:b/>
          <w:u w:val="single"/>
        </w:rPr>
      </w:pPr>
    </w:p>
    <w:p w14:paraId="51DD779B" w14:textId="702616C9" w:rsidR="00CD301A" w:rsidRPr="00CA6F4A" w:rsidRDefault="00CD301A" w:rsidP="00896AF6">
      <w:pPr>
        <w:spacing w:line="360" w:lineRule="auto"/>
        <w:rPr>
          <w:rFonts w:ascii="Arial" w:hAnsi="Arial" w:cs="Arial"/>
          <w:b/>
          <w:sz w:val="32"/>
          <w:szCs w:val="32"/>
        </w:rPr>
      </w:pPr>
      <w:r w:rsidRPr="00CA6F4A">
        <w:rPr>
          <w:rFonts w:ascii="Arial" w:hAnsi="Arial" w:cs="Arial"/>
          <w:b/>
          <w:sz w:val="32"/>
          <w:szCs w:val="32"/>
        </w:rPr>
        <w:t>Schedule Two –</w:t>
      </w:r>
      <w:r w:rsidR="001B7DCE">
        <w:rPr>
          <w:rFonts w:ascii="Arial" w:hAnsi="Arial" w:cs="Arial"/>
          <w:b/>
          <w:sz w:val="32"/>
          <w:szCs w:val="32"/>
        </w:rPr>
        <w:t xml:space="preserve"> de-</w:t>
      </w:r>
      <w:r w:rsidRPr="00CA6F4A">
        <w:rPr>
          <w:rFonts w:ascii="Arial" w:hAnsi="Arial" w:cs="Arial"/>
          <w:b/>
          <w:sz w:val="32"/>
          <w:szCs w:val="32"/>
        </w:rPr>
        <w:t>registration</w:t>
      </w:r>
    </w:p>
    <w:p w14:paraId="384268B3" w14:textId="251C55CB" w:rsidR="004C4646" w:rsidRPr="004C4646" w:rsidRDefault="004C4646" w:rsidP="004C4646">
      <w:pPr>
        <w:pStyle w:val="ListParagraph"/>
        <w:numPr>
          <w:ilvl w:val="0"/>
          <w:numId w:val="5"/>
        </w:numPr>
        <w:spacing w:line="360" w:lineRule="auto"/>
        <w:rPr>
          <w:rFonts w:ascii="Arial" w:hAnsi="Arial" w:cs="Arial"/>
        </w:rPr>
      </w:pPr>
      <w:r>
        <w:rPr>
          <w:rFonts w:ascii="Arial" w:hAnsi="Arial" w:cs="Arial"/>
        </w:rPr>
        <w:t xml:space="preserve">Schedule Two of the Bill expands the grounds under which </w:t>
      </w:r>
      <w:r w:rsidR="001B7DCE">
        <w:rPr>
          <w:rFonts w:ascii="Arial" w:hAnsi="Arial" w:cs="Arial"/>
        </w:rPr>
        <w:t>a c</w:t>
      </w:r>
      <w:r>
        <w:rPr>
          <w:rFonts w:ascii="Arial" w:hAnsi="Arial" w:cs="Arial"/>
        </w:rPr>
        <w:t xml:space="preserve">ourt can make orders to deregister an organisation and provides the court with additional powers to make alternative orders in lieu of full deregistration.  </w:t>
      </w:r>
    </w:p>
    <w:p w14:paraId="66B76A60" w14:textId="77777777" w:rsidR="004C4646" w:rsidRDefault="004C4646" w:rsidP="004C4646">
      <w:pPr>
        <w:spacing w:line="360" w:lineRule="auto"/>
        <w:rPr>
          <w:rFonts w:ascii="Arial" w:hAnsi="Arial" w:cs="Arial"/>
          <w:u w:val="single"/>
        </w:rPr>
      </w:pPr>
      <w:r>
        <w:rPr>
          <w:rFonts w:ascii="Arial" w:hAnsi="Arial" w:cs="Arial"/>
          <w:u w:val="single"/>
        </w:rPr>
        <w:t>Grounds for Federal Orders</w:t>
      </w:r>
    </w:p>
    <w:p w14:paraId="0F07BB4F" w14:textId="00451D87" w:rsidR="001B7DCE" w:rsidRDefault="004C4646" w:rsidP="00D20F81">
      <w:pPr>
        <w:pStyle w:val="ListParagraph"/>
        <w:numPr>
          <w:ilvl w:val="0"/>
          <w:numId w:val="5"/>
        </w:numPr>
        <w:spacing w:line="360" w:lineRule="auto"/>
        <w:rPr>
          <w:rFonts w:ascii="Arial" w:hAnsi="Arial" w:cs="Arial"/>
        </w:rPr>
      </w:pPr>
      <w:r>
        <w:rPr>
          <w:rFonts w:ascii="Arial" w:hAnsi="Arial" w:cs="Arial"/>
        </w:rPr>
        <w:t>The grounds for deregistration out</w:t>
      </w:r>
      <w:r w:rsidR="002B6461">
        <w:rPr>
          <w:rFonts w:ascii="Arial" w:hAnsi="Arial" w:cs="Arial"/>
        </w:rPr>
        <w:t xml:space="preserve">lined in </w:t>
      </w:r>
      <w:r w:rsidR="001B7DCE">
        <w:rPr>
          <w:rFonts w:ascii="Arial" w:hAnsi="Arial" w:cs="Arial"/>
        </w:rPr>
        <w:t xml:space="preserve">Schedule 2, </w:t>
      </w:r>
      <w:r w:rsidR="002B6461">
        <w:rPr>
          <w:rFonts w:ascii="Arial" w:hAnsi="Arial" w:cs="Arial"/>
        </w:rPr>
        <w:t>Division 3 of the Bill</w:t>
      </w:r>
      <w:r>
        <w:rPr>
          <w:rFonts w:ascii="Arial" w:hAnsi="Arial" w:cs="Arial"/>
        </w:rPr>
        <w:t xml:space="preserve"> </w:t>
      </w:r>
      <w:r w:rsidR="001B7DCE">
        <w:rPr>
          <w:rFonts w:ascii="Arial" w:hAnsi="Arial" w:cs="Arial"/>
        </w:rPr>
        <w:t xml:space="preserve">set out </w:t>
      </w:r>
      <w:r w:rsidR="00631F2A">
        <w:rPr>
          <w:rFonts w:ascii="Arial" w:hAnsi="Arial" w:cs="Arial"/>
        </w:rPr>
        <w:t>five</w:t>
      </w:r>
      <w:r w:rsidR="001B7DCE">
        <w:rPr>
          <w:rFonts w:ascii="Arial" w:hAnsi="Arial" w:cs="Arial"/>
        </w:rPr>
        <w:t xml:space="preserve"> </w:t>
      </w:r>
      <w:r>
        <w:rPr>
          <w:rFonts w:ascii="Arial" w:hAnsi="Arial" w:cs="Arial"/>
        </w:rPr>
        <w:t xml:space="preserve">broad and </w:t>
      </w:r>
      <w:r w:rsidR="001B7DCE">
        <w:rPr>
          <w:rFonts w:ascii="Arial" w:hAnsi="Arial" w:cs="Arial"/>
        </w:rPr>
        <w:t xml:space="preserve">contradictory grounds for the deregistration of a union. </w:t>
      </w:r>
      <w:r w:rsidR="000D088D">
        <w:rPr>
          <w:rFonts w:ascii="Arial" w:hAnsi="Arial" w:cs="Arial"/>
        </w:rPr>
        <w:t xml:space="preserve"> </w:t>
      </w:r>
    </w:p>
    <w:p w14:paraId="22C09184" w14:textId="5C66CF28" w:rsidR="001B7DCE" w:rsidRDefault="00631F2A" w:rsidP="001B7DCE">
      <w:pPr>
        <w:spacing w:line="360" w:lineRule="auto"/>
        <w:ind w:left="360"/>
        <w:rPr>
          <w:rFonts w:ascii="Arial" w:hAnsi="Arial" w:cs="Arial"/>
          <w:i/>
        </w:rPr>
      </w:pPr>
      <w:r>
        <w:rPr>
          <w:rFonts w:ascii="Arial" w:hAnsi="Arial" w:cs="Arial"/>
          <w:i/>
        </w:rPr>
        <w:t>Conduct of affairs of organisation</w:t>
      </w:r>
    </w:p>
    <w:p w14:paraId="504DA7AE" w14:textId="7330AF6C" w:rsidR="002F0D61" w:rsidRDefault="00631F2A" w:rsidP="00631F2A">
      <w:pPr>
        <w:pStyle w:val="ListParagraph"/>
        <w:numPr>
          <w:ilvl w:val="0"/>
          <w:numId w:val="5"/>
        </w:numPr>
        <w:spacing w:line="360" w:lineRule="auto"/>
        <w:rPr>
          <w:rFonts w:ascii="Arial" w:hAnsi="Arial" w:cs="Arial"/>
        </w:rPr>
      </w:pPr>
      <w:r w:rsidRPr="0005687D">
        <w:rPr>
          <w:rFonts w:ascii="Arial" w:hAnsi="Arial" w:cs="Arial"/>
        </w:rPr>
        <w:t xml:space="preserve">The Bill outlines </w:t>
      </w:r>
      <w:r>
        <w:rPr>
          <w:rFonts w:ascii="Arial" w:hAnsi="Arial" w:cs="Arial"/>
        </w:rPr>
        <w:t xml:space="preserve">a broad set of ‘conduct of affairs’ of the organisation or part of the organisation </w:t>
      </w:r>
      <w:r w:rsidRPr="0005687D">
        <w:rPr>
          <w:rFonts w:ascii="Arial" w:hAnsi="Arial" w:cs="Arial"/>
        </w:rPr>
        <w:t xml:space="preserve">as a </w:t>
      </w:r>
      <w:proofErr w:type="gramStart"/>
      <w:r w:rsidRPr="0005687D">
        <w:rPr>
          <w:rFonts w:ascii="Arial" w:hAnsi="Arial" w:cs="Arial"/>
        </w:rPr>
        <w:t>grounds</w:t>
      </w:r>
      <w:proofErr w:type="gramEnd"/>
      <w:r w:rsidRPr="0005687D">
        <w:rPr>
          <w:rFonts w:ascii="Arial" w:hAnsi="Arial" w:cs="Arial"/>
        </w:rPr>
        <w:t xml:space="preserve"> for deregistration or alternative orders. </w:t>
      </w:r>
      <w:r w:rsidR="003D5DA2">
        <w:rPr>
          <w:rFonts w:ascii="Arial" w:hAnsi="Arial" w:cs="Arial"/>
        </w:rPr>
        <w:br/>
      </w:r>
    </w:p>
    <w:p w14:paraId="72AFDB5D" w14:textId="7D85C2B4" w:rsidR="00631F2A" w:rsidRPr="002F0D61" w:rsidRDefault="00631F2A" w:rsidP="00BF72A5">
      <w:pPr>
        <w:pStyle w:val="ListParagraph"/>
        <w:numPr>
          <w:ilvl w:val="0"/>
          <w:numId w:val="5"/>
        </w:numPr>
        <w:spacing w:line="360" w:lineRule="auto"/>
        <w:rPr>
          <w:rFonts w:ascii="Arial" w:hAnsi="Arial" w:cs="Arial"/>
        </w:rPr>
      </w:pPr>
      <w:r w:rsidRPr="002F0D61">
        <w:rPr>
          <w:rFonts w:ascii="Arial" w:hAnsi="Arial" w:cs="Arial"/>
        </w:rPr>
        <w:t xml:space="preserve">Of particular concern is </w:t>
      </w:r>
      <w:r w:rsidR="002F0D61">
        <w:rPr>
          <w:rFonts w:ascii="Arial" w:hAnsi="Arial" w:cs="Arial"/>
        </w:rPr>
        <w:t xml:space="preserve">the proposed </w:t>
      </w:r>
      <w:r w:rsidRPr="002F0D61">
        <w:rPr>
          <w:rFonts w:ascii="Arial" w:hAnsi="Arial" w:cs="Arial"/>
        </w:rPr>
        <w:t>s</w:t>
      </w:r>
      <w:r w:rsidR="002F0D61">
        <w:rPr>
          <w:rFonts w:ascii="Arial" w:hAnsi="Arial" w:cs="Arial"/>
        </w:rPr>
        <w:t xml:space="preserve"> </w:t>
      </w:r>
      <w:r w:rsidRPr="002F0D61">
        <w:rPr>
          <w:rFonts w:ascii="Arial" w:hAnsi="Arial" w:cs="Arial"/>
        </w:rPr>
        <w:t xml:space="preserve">28C(1) which establishes a grounds for deregistration </w:t>
      </w:r>
      <w:r w:rsidR="002F0D61" w:rsidRPr="002F0D61">
        <w:rPr>
          <w:rFonts w:ascii="Arial" w:hAnsi="Arial" w:cs="Arial"/>
        </w:rPr>
        <w:t xml:space="preserve">if the organisation has </w:t>
      </w:r>
      <w:r w:rsidRPr="002F0D61">
        <w:rPr>
          <w:rFonts w:ascii="Arial" w:hAnsi="Arial" w:cs="Arial"/>
        </w:rPr>
        <w:t xml:space="preserve">conducted affairs </w:t>
      </w:r>
      <w:r w:rsidR="002F0D61" w:rsidRPr="002F0D61">
        <w:rPr>
          <w:rFonts w:ascii="Arial" w:hAnsi="Arial" w:cs="Arial"/>
        </w:rPr>
        <w:t>in a manner that is:</w:t>
      </w:r>
      <w:r w:rsidR="002F0D61">
        <w:rPr>
          <w:rFonts w:ascii="Arial" w:hAnsi="Arial" w:cs="Arial"/>
        </w:rPr>
        <w:t xml:space="preserve"> “</w:t>
      </w:r>
      <w:r w:rsidRPr="002F0D61">
        <w:rPr>
          <w:rFonts w:ascii="Arial" w:hAnsi="Arial" w:cs="Arial"/>
        </w:rPr>
        <w:t>(</w:t>
      </w:r>
      <w:proofErr w:type="spellStart"/>
      <w:r w:rsidRPr="002F0D61">
        <w:rPr>
          <w:rFonts w:ascii="Arial" w:hAnsi="Arial" w:cs="Arial"/>
        </w:rPr>
        <w:t>i</w:t>
      </w:r>
      <w:proofErr w:type="spellEnd"/>
      <w:r w:rsidRPr="002F0D61">
        <w:rPr>
          <w:rFonts w:ascii="Arial" w:hAnsi="Arial" w:cs="Arial"/>
        </w:rPr>
        <w:t xml:space="preserve">) </w:t>
      </w:r>
      <w:r w:rsidRPr="002F0D61">
        <w:rPr>
          <w:rFonts w:ascii="Arial" w:hAnsi="Arial" w:cs="Arial"/>
        </w:rPr>
        <w:lastRenderedPageBreak/>
        <w:t>oppressive or unfairly prejudicial to, or unfairly discriminatory against, a member or a class of members; or (ii) contrary to the interests of the members of the organisation or part as a whole”.</w:t>
      </w:r>
      <w:r w:rsidRPr="002F0D61">
        <w:rPr>
          <w:rFonts w:ascii="Arial" w:hAnsi="Arial" w:cs="Arial"/>
        </w:rPr>
        <w:br/>
      </w:r>
    </w:p>
    <w:p w14:paraId="5F7F7146" w14:textId="27BEEBA5" w:rsidR="00631F2A" w:rsidRDefault="00631F2A" w:rsidP="00631F2A">
      <w:pPr>
        <w:pStyle w:val="ListParagraph"/>
        <w:numPr>
          <w:ilvl w:val="0"/>
          <w:numId w:val="5"/>
        </w:numPr>
        <w:spacing w:line="360" w:lineRule="auto"/>
        <w:rPr>
          <w:rFonts w:ascii="Arial" w:hAnsi="Arial" w:cs="Arial"/>
        </w:rPr>
      </w:pPr>
      <w:r w:rsidRPr="0005687D">
        <w:rPr>
          <w:rFonts w:ascii="Arial" w:hAnsi="Arial" w:cs="Arial"/>
        </w:rPr>
        <w:t>This ground runs contrary to the nature of diverse</w:t>
      </w:r>
      <w:r>
        <w:rPr>
          <w:rFonts w:ascii="Arial" w:hAnsi="Arial" w:cs="Arial"/>
        </w:rPr>
        <w:t>,</w:t>
      </w:r>
      <w:r w:rsidRPr="0005687D">
        <w:rPr>
          <w:rFonts w:ascii="Arial" w:hAnsi="Arial" w:cs="Arial"/>
        </w:rPr>
        <w:t xml:space="preserve"> democraticall</w:t>
      </w:r>
      <w:r>
        <w:rPr>
          <w:rFonts w:ascii="Arial" w:hAnsi="Arial" w:cs="Arial"/>
        </w:rPr>
        <w:t>y run organisation</w:t>
      </w:r>
      <w:r w:rsidR="002F0D61">
        <w:rPr>
          <w:rFonts w:ascii="Arial" w:hAnsi="Arial" w:cs="Arial"/>
        </w:rPr>
        <w:t>s</w:t>
      </w:r>
      <w:r>
        <w:rPr>
          <w:rFonts w:ascii="Arial" w:hAnsi="Arial" w:cs="Arial"/>
        </w:rPr>
        <w:t xml:space="preserve"> like unions. It is impossible to</w:t>
      </w:r>
      <w:r w:rsidRPr="0005687D">
        <w:rPr>
          <w:rFonts w:ascii="Arial" w:hAnsi="Arial" w:cs="Arial"/>
        </w:rPr>
        <w:t xml:space="preserve"> simultaneously meet the interests of members collectively and individually. </w:t>
      </w:r>
      <w:r>
        <w:rPr>
          <w:rFonts w:ascii="Arial" w:hAnsi="Arial" w:cs="Arial"/>
        </w:rPr>
        <w:t xml:space="preserve">The nature of unions requires them to balance the needs and interests of individuals against those of the broader collective. How effectively a union is able to do this, is determined by the membership of the union through union elections and internal </w:t>
      </w:r>
      <w:proofErr w:type="gramStart"/>
      <w:r>
        <w:rPr>
          <w:rFonts w:ascii="Arial" w:hAnsi="Arial" w:cs="Arial"/>
        </w:rPr>
        <w:t>decision making</w:t>
      </w:r>
      <w:proofErr w:type="gramEnd"/>
      <w:r>
        <w:rPr>
          <w:rFonts w:ascii="Arial" w:hAnsi="Arial" w:cs="Arial"/>
        </w:rPr>
        <w:t xml:space="preserve"> bodies. </w:t>
      </w:r>
      <w:r w:rsidR="002F0D61">
        <w:rPr>
          <w:rFonts w:ascii="Arial" w:hAnsi="Arial" w:cs="Arial"/>
        </w:rPr>
        <w:t>The proposed g</w:t>
      </w:r>
      <w:r>
        <w:rPr>
          <w:rFonts w:ascii="Arial" w:hAnsi="Arial" w:cs="Arial"/>
        </w:rPr>
        <w:t>round 28C(1)(</w:t>
      </w:r>
      <w:r w:rsidR="002F0D61">
        <w:rPr>
          <w:rFonts w:ascii="Arial" w:hAnsi="Arial" w:cs="Arial"/>
        </w:rPr>
        <w:t>b</w:t>
      </w:r>
      <w:r>
        <w:rPr>
          <w:rFonts w:ascii="Arial" w:hAnsi="Arial" w:cs="Arial"/>
        </w:rPr>
        <w:t xml:space="preserve">) is ill conceived and is not suitable for the collective and democratic nature of unions. </w:t>
      </w:r>
      <w:r>
        <w:rPr>
          <w:rFonts w:ascii="Arial" w:hAnsi="Arial" w:cs="Arial"/>
        </w:rPr>
        <w:br/>
      </w:r>
    </w:p>
    <w:p w14:paraId="6F2616C2" w14:textId="0A282F5D" w:rsidR="00631F2A" w:rsidRPr="009B1353" w:rsidRDefault="00631F2A" w:rsidP="009B1353">
      <w:pPr>
        <w:pStyle w:val="ListParagraph"/>
        <w:numPr>
          <w:ilvl w:val="0"/>
          <w:numId w:val="5"/>
        </w:numPr>
        <w:spacing w:line="360" w:lineRule="auto"/>
        <w:rPr>
          <w:rFonts w:ascii="Arial" w:hAnsi="Arial" w:cs="Arial"/>
        </w:rPr>
      </w:pPr>
      <w:r>
        <w:rPr>
          <w:rFonts w:ascii="Arial" w:hAnsi="Arial" w:cs="Arial"/>
        </w:rPr>
        <w:t xml:space="preserve">As an example of how the amendment could be inappropriately applied; a union member who joined the union a month ago may call the union requesting assistance with a workplace injury claim which happened six months ago. The issue is highly technical and will require legal representation. The member wants the union to assist. When considering what </w:t>
      </w:r>
      <w:proofErr w:type="gramStart"/>
      <w:r>
        <w:rPr>
          <w:rFonts w:ascii="Arial" w:hAnsi="Arial" w:cs="Arial"/>
        </w:rPr>
        <w:t>action</w:t>
      </w:r>
      <w:proofErr w:type="gramEnd"/>
      <w:r>
        <w:rPr>
          <w:rFonts w:ascii="Arial" w:hAnsi="Arial" w:cs="Arial"/>
        </w:rPr>
        <w:t xml:space="preserve"> the union takes it must make a decision based on what is the fairest use of collective resources. The union will take into consideration the likelihood the matter will succeed, the implications or precedence of a positive (or negative) result for other union members and what resources will need to be invested.</w:t>
      </w:r>
      <w:r w:rsidR="002F0D61">
        <w:rPr>
          <w:rFonts w:ascii="Arial" w:hAnsi="Arial" w:cs="Arial"/>
        </w:rPr>
        <w:t xml:space="preserve"> In this example, the union has a process to determine these factors which leads to a decision not to allocate resources to the members’ legal case</w:t>
      </w:r>
      <w:r>
        <w:rPr>
          <w:rFonts w:ascii="Arial" w:hAnsi="Arial" w:cs="Arial"/>
        </w:rPr>
        <w:t xml:space="preserve">. This is an example of the union acting in the interests of the collective membership. Despite this, under the proposed amendments, the decision to not allocate resources could be </w:t>
      </w:r>
      <w:r w:rsidR="00923B41">
        <w:rPr>
          <w:rFonts w:ascii="Arial" w:hAnsi="Arial" w:cs="Arial"/>
        </w:rPr>
        <w:t>used as a grounds under</w:t>
      </w:r>
      <w:r>
        <w:rPr>
          <w:rFonts w:ascii="Arial" w:hAnsi="Arial" w:cs="Arial"/>
        </w:rPr>
        <w:t xml:space="preserve"> 28</w:t>
      </w:r>
      <w:proofErr w:type="gramStart"/>
      <w:r>
        <w:rPr>
          <w:rFonts w:ascii="Arial" w:hAnsi="Arial" w:cs="Arial"/>
        </w:rPr>
        <w:t>C(</w:t>
      </w:r>
      <w:proofErr w:type="gramEnd"/>
      <w:r>
        <w:rPr>
          <w:rFonts w:ascii="Arial" w:hAnsi="Arial" w:cs="Arial"/>
        </w:rPr>
        <w:t xml:space="preserve">1) </w:t>
      </w:r>
      <w:r w:rsidR="00923B41">
        <w:rPr>
          <w:rFonts w:ascii="Arial" w:hAnsi="Arial" w:cs="Arial"/>
        </w:rPr>
        <w:t>to cancel</w:t>
      </w:r>
      <w:r>
        <w:rPr>
          <w:rFonts w:ascii="Arial" w:hAnsi="Arial" w:cs="Arial"/>
        </w:rPr>
        <w:t xml:space="preserve"> of the union’s registration.</w:t>
      </w:r>
    </w:p>
    <w:p w14:paraId="5C7B3E76" w14:textId="7687704F" w:rsidR="00631F2A" w:rsidRDefault="00631F2A" w:rsidP="001B7DCE">
      <w:pPr>
        <w:spacing w:line="360" w:lineRule="auto"/>
        <w:ind w:left="360"/>
        <w:rPr>
          <w:rFonts w:ascii="Arial" w:hAnsi="Arial" w:cs="Arial"/>
          <w:i/>
        </w:rPr>
      </w:pPr>
      <w:r>
        <w:rPr>
          <w:rFonts w:ascii="Arial" w:hAnsi="Arial" w:cs="Arial"/>
          <w:i/>
        </w:rPr>
        <w:t>Multiple findings again</w:t>
      </w:r>
      <w:r w:rsidR="00E52821">
        <w:rPr>
          <w:rFonts w:ascii="Arial" w:hAnsi="Arial" w:cs="Arial"/>
          <w:i/>
        </w:rPr>
        <w:t>st</w:t>
      </w:r>
      <w:r>
        <w:rPr>
          <w:rFonts w:ascii="Arial" w:hAnsi="Arial" w:cs="Arial"/>
          <w:i/>
        </w:rPr>
        <w:t xml:space="preserve"> members</w:t>
      </w:r>
    </w:p>
    <w:p w14:paraId="260F9834" w14:textId="0C790A00" w:rsidR="009B1353" w:rsidRPr="009B1353" w:rsidRDefault="009B1353" w:rsidP="009B1353">
      <w:pPr>
        <w:pStyle w:val="ListParagraph"/>
        <w:numPr>
          <w:ilvl w:val="0"/>
          <w:numId w:val="5"/>
        </w:numPr>
        <w:spacing w:line="360" w:lineRule="auto"/>
        <w:rPr>
          <w:rFonts w:ascii="Arial" w:hAnsi="Arial" w:cs="Arial"/>
          <w:i/>
        </w:rPr>
      </w:pPr>
      <w:r>
        <w:rPr>
          <w:rFonts w:ascii="Arial" w:hAnsi="Arial" w:cs="Arial"/>
        </w:rPr>
        <w:t xml:space="preserve">The Bill provides a ground for deregistration if multiple </w:t>
      </w:r>
      <w:r w:rsidR="001231D5">
        <w:rPr>
          <w:rFonts w:ascii="Arial" w:hAnsi="Arial" w:cs="Arial"/>
        </w:rPr>
        <w:t xml:space="preserve">designated </w:t>
      </w:r>
      <w:r>
        <w:rPr>
          <w:rFonts w:ascii="Arial" w:hAnsi="Arial" w:cs="Arial"/>
        </w:rPr>
        <w:t xml:space="preserve">findings are made against </w:t>
      </w:r>
      <w:r w:rsidR="001231D5">
        <w:rPr>
          <w:rFonts w:ascii="Arial" w:hAnsi="Arial" w:cs="Arial"/>
        </w:rPr>
        <w:t xml:space="preserve">a substantial number of </w:t>
      </w:r>
      <w:r>
        <w:rPr>
          <w:rFonts w:ascii="Arial" w:hAnsi="Arial" w:cs="Arial"/>
        </w:rPr>
        <w:t>members. The minimum number of members required to meet the threshold of ‘substantial’ is not defined in the Bill. m</w:t>
      </w:r>
      <w:r>
        <w:rPr>
          <w:rFonts w:ascii="Arial" w:hAnsi="Arial" w:cs="Arial"/>
        </w:rPr>
        <w:br/>
      </w:r>
    </w:p>
    <w:p w14:paraId="57F292DB" w14:textId="77777777" w:rsidR="001231D5" w:rsidRPr="001231D5" w:rsidRDefault="00DA61AF" w:rsidP="009B1353">
      <w:pPr>
        <w:pStyle w:val="ListParagraph"/>
        <w:numPr>
          <w:ilvl w:val="0"/>
          <w:numId w:val="5"/>
        </w:numPr>
        <w:spacing w:line="360" w:lineRule="auto"/>
        <w:rPr>
          <w:rFonts w:ascii="Arial" w:hAnsi="Arial" w:cs="Arial"/>
          <w:i/>
        </w:rPr>
      </w:pPr>
      <w:r>
        <w:rPr>
          <w:rFonts w:ascii="Arial" w:hAnsi="Arial" w:cs="Arial"/>
        </w:rPr>
        <w:t xml:space="preserve">Under the current legislation there are limited circumstances under which a Court can order the deregistration of a union. They are limited to financial mismanagement, continued </w:t>
      </w:r>
      <w:r w:rsidR="001231D5">
        <w:rPr>
          <w:rFonts w:ascii="Arial" w:hAnsi="Arial" w:cs="Arial"/>
        </w:rPr>
        <w:t>failures</w:t>
      </w:r>
      <w:r>
        <w:rPr>
          <w:rFonts w:ascii="Arial" w:hAnsi="Arial" w:cs="Arial"/>
        </w:rPr>
        <w:t xml:space="preserve"> to comply with the Fair Work Commission order or damaging</w:t>
      </w:r>
      <w:r w:rsidR="001231D5">
        <w:rPr>
          <w:rFonts w:ascii="Arial" w:hAnsi="Arial" w:cs="Arial"/>
        </w:rPr>
        <w:t xml:space="preserve">, </w:t>
      </w:r>
      <w:r>
        <w:rPr>
          <w:rFonts w:ascii="Arial" w:hAnsi="Arial" w:cs="Arial"/>
        </w:rPr>
        <w:t>unlawful industrial action. The Bill propose</w:t>
      </w:r>
      <w:r w:rsidR="001231D5">
        <w:rPr>
          <w:rFonts w:ascii="Arial" w:hAnsi="Arial" w:cs="Arial"/>
        </w:rPr>
        <w:t>s</w:t>
      </w:r>
      <w:r>
        <w:rPr>
          <w:rFonts w:ascii="Arial" w:hAnsi="Arial" w:cs="Arial"/>
        </w:rPr>
        <w:t xml:space="preserve"> </w:t>
      </w:r>
      <w:r w:rsidR="001231D5">
        <w:rPr>
          <w:rFonts w:ascii="Arial" w:hAnsi="Arial" w:cs="Arial"/>
        </w:rPr>
        <w:t xml:space="preserve">an expansion to also include </w:t>
      </w:r>
      <w:r>
        <w:rPr>
          <w:rFonts w:ascii="Arial" w:hAnsi="Arial" w:cs="Arial"/>
        </w:rPr>
        <w:t xml:space="preserve">minor </w:t>
      </w:r>
      <w:r w:rsidRPr="009B1353">
        <w:rPr>
          <w:rFonts w:ascii="Arial" w:hAnsi="Arial" w:cs="Arial"/>
        </w:rPr>
        <w:t>administrative offences</w:t>
      </w:r>
      <w:r w:rsidR="001231D5">
        <w:rPr>
          <w:rFonts w:ascii="Arial" w:hAnsi="Arial" w:cs="Arial"/>
        </w:rPr>
        <w:t xml:space="preserve"> contained within </w:t>
      </w:r>
      <w:r w:rsidRPr="009B1353">
        <w:rPr>
          <w:rFonts w:ascii="Arial" w:hAnsi="Arial" w:cs="Arial"/>
        </w:rPr>
        <w:t>the Fair Work Act and Registered Organisations Act</w:t>
      </w:r>
      <w:r>
        <w:rPr>
          <w:rFonts w:ascii="Arial" w:hAnsi="Arial" w:cs="Arial"/>
        </w:rPr>
        <w:t xml:space="preserve">. </w:t>
      </w:r>
    </w:p>
    <w:p w14:paraId="62EBDBF4" w14:textId="13B603B1" w:rsidR="009B1353" w:rsidRPr="009B1353" w:rsidRDefault="001231D5" w:rsidP="009B1353">
      <w:pPr>
        <w:pStyle w:val="ListParagraph"/>
        <w:numPr>
          <w:ilvl w:val="0"/>
          <w:numId w:val="5"/>
        </w:numPr>
        <w:spacing w:line="360" w:lineRule="auto"/>
        <w:rPr>
          <w:rFonts w:ascii="Arial" w:hAnsi="Arial" w:cs="Arial"/>
          <w:i/>
        </w:rPr>
      </w:pPr>
      <w:r>
        <w:rPr>
          <w:rFonts w:ascii="Arial" w:hAnsi="Arial" w:cs="Arial"/>
        </w:rPr>
        <w:lastRenderedPageBreak/>
        <w:t xml:space="preserve">The ability to deregister a union based on findings against members is not about restricting the actions of union officials. This provision holds unions accountable for the actions of thousands of individual members. A union may be de-registered as a result of the actions of a group of members, even if the union and its officials had made attempts to stop members from committing a designated offence.  </w:t>
      </w:r>
    </w:p>
    <w:p w14:paraId="27DFAA3E" w14:textId="59368B51" w:rsidR="00631F2A" w:rsidRDefault="00631F2A" w:rsidP="001B7DCE">
      <w:pPr>
        <w:spacing w:line="360" w:lineRule="auto"/>
        <w:ind w:left="360"/>
        <w:rPr>
          <w:rFonts w:ascii="Arial" w:hAnsi="Arial" w:cs="Arial"/>
          <w:i/>
        </w:rPr>
      </w:pPr>
      <w:r>
        <w:rPr>
          <w:rFonts w:ascii="Arial" w:hAnsi="Arial" w:cs="Arial"/>
          <w:i/>
        </w:rPr>
        <w:t>Obstructive industrial action</w:t>
      </w:r>
    </w:p>
    <w:p w14:paraId="2BADBF62" w14:textId="4393D391" w:rsidR="00DA61AF" w:rsidRDefault="00631F2A" w:rsidP="00631F2A">
      <w:pPr>
        <w:pStyle w:val="ListParagraph"/>
        <w:numPr>
          <w:ilvl w:val="0"/>
          <w:numId w:val="5"/>
        </w:numPr>
        <w:spacing w:line="360" w:lineRule="auto"/>
        <w:rPr>
          <w:rFonts w:ascii="Arial" w:hAnsi="Arial" w:cs="Arial"/>
        </w:rPr>
      </w:pPr>
      <w:r w:rsidRPr="00631F2A">
        <w:rPr>
          <w:rFonts w:ascii="Arial" w:hAnsi="Arial" w:cs="Arial"/>
        </w:rPr>
        <w:t xml:space="preserve">Obstructive industrial action is outlined as a </w:t>
      </w:r>
      <w:proofErr w:type="gramStart"/>
      <w:r w:rsidRPr="00631F2A">
        <w:rPr>
          <w:rFonts w:ascii="Arial" w:hAnsi="Arial" w:cs="Arial"/>
        </w:rPr>
        <w:t>grounds</w:t>
      </w:r>
      <w:proofErr w:type="gramEnd"/>
      <w:r w:rsidRPr="00631F2A">
        <w:rPr>
          <w:rFonts w:ascii="Arial" w:hAnsi="Arial" w:cs="Arial"/>
        </w:rPr>
        <w:t xml:space="preserve"> for deregistration or other order</w:t>
      </w:r>
      <w:r>
        <w:rPr>
          <w:rStyle w:val="FootnoteReference"/>
          <w:rFonts w:ascii="Arial" w:hAnsi="Arial" w:cs="Arial"/>
        </w:rPr>
        <w:footnoteReference w:id="20"/>
      </w:r>
      <w:r w:rsidRPr="00631F2A">
        <w:rPr>
          <w:rFonts w:ascii="Arial" w:hAnsi="Arial" w:cs="Arial"/>
        </w:rPr>
        <w:t xml:space="preserve">. </w:t>
      </w:r>
      <w:r w:rsidR="00DA61AF">
        <w:rPr>
          <w:rFonts w:ascii="Arial" w:hAnsi="Arial" w:cs="Arial"/>
        </w:rPr>
        <w:t>Under the existing legislation the ground is met if members engage in unprotected industrial action that affects a federal system employer or the provision of public services</w:t>
      </w:r>
      <w:r w:rsidR="00DA61AF">
        <w:rPr>
          <w:rStyle w:val="FootnoteReference"/>
          <w:rFonts w:ascii="Arial" w:hAnsi="Arial" w:cs="Arial"/>
        </w:rPr>
        <w:footnoteReference w:id="21"/>
      </w:r>
      <w:r w:rsidR="00DA61AF">
        <w:rPr>
          <w:rFonts w:ascii="Arial" w:hAnsi="Arial" w:cs="Arial"/>
        </w:rPr>
        <w:t xml:space="preserve">. </w:t>
      </w:r>
      <w:r w:rsidR="00DA61AF">
        <w:rPr>
          <w:rFonts w:ascii="Arial" w:hAnsi="Arial" w:cs="Arial"/>
        </w:rPr>
        <w:br/>
      </w:r>
    </w:p>
    <w:p w14:paraId="0D296DF4" w14:textId="079D0864" w:rsidR="00DA61AF" w:rsidRPr="00287D65" w:rsidRDefault="00DA61AF" w:rsidP="00BF72A5">
      <w:pPr>
        <w:pStyle w:val="ListParagraph"/>
        <w:numPr>
          <w:ilvl w:val="0"/>
          <w:numId w:val="5"/>
        </w:numPr>
        <w:spacing w:line="360" w:lineRule="auto"/>
        <w:rPr>
          <w:rFonts w:ascii="Arial" w:hAnsi="Arial" w:cs="Arial"/>
        </w:rPr>
      </w:pPr>
      <w:r w:rsidRPr="00287D65">
        <w:rPr>
          <w:rFonts w:ascii="Arial" w:hAnsi="Arial" w:cs="Arial"/>
        </w:rPr>
        <w:t>The Bill include</w:t>
      </w:r>
      <w:r w:rsidR="00D7458B" w:rsidRPr="00287D65">
        <w:rPr>
          <w:rFonts w:ascii="Arial" w:hAnsi="Arial" w:cs="Arial"/>
        </w:rPr>
        <w:t>s</w:t>
      </w:r>
      <w:r w:rsidRPr="00287D65">
        <w:rPr>
          <w:rFonts w:ascii="Arial" w:hAnsi="Arial" w:cs="Arial"/>
        </w:rPr>
        <w:t xml:space="preserve"> the ‘organising’ of industrial action</w:t>
      </w:r>
      <w:r w:rsidR="00D7458B" w:rsidRPr="00287D65">
        <w:rPr>
          <w:rFonts w:ascii="Arial" w:hAnsi="Arial" w:cs="Arial"/>
        </w:rPr>
        <w:t xml:space="preserve"> as a ground for de-registration</w:t>
      </w:r>
      <w:r w:rsidRPr="00287D65">
        <w:rPr>
          <w:rFonts w:ascii="Arial" w:hAnsi="Arial" w:cs="Arial"/>
        </w:rPr>
        <w:t xml:space="preserve">, even if </w:t>
      </w:r>
      <w:r w:rsidR="001231D5">
        <w:rPr>
          <w:rFonts w:ascii="Arial" w:hAnsi="Arial" w:cs="Arial"/>
        </w:rPr>
        <w:t>the action</w:t>
      </w:r>
      <w:r w:rsidRPr="00287D65">
        <w:rPr>
          <w:rFonts w:ascii="Arial" w:hAnsi="Arial" w:cs="Arial"/>
        </w:rPr>
        <w:t xml:space="preserve"> is not carried out</w:t>
      </w:r>
      <w:r>
        <w:rPr>
          <w:rStyle w:val="FootnoteReference"/>
          <w:rFonts w:ascii="Arial" w:hAnsi="Arial" w:cs="Arial"/>
        </w:rPr>
        <w:footnoteReference w:id="22"/>
      </w:r>
      <w:r w:rsidRPr="00287D65">
        <w:rPr>
          <w:rFonts w:ascii="Arial" w:hAnsi="Arial" w:cs="Arial"/>
        </w:rPr>
        <w:t>.</w:t>
      </w:r>
      <w:r w:rsidR="00D7458B" w:rsidRPr="00287D65">
        <w:rPr>
          <w:rFonts w:ascii="Arial" w:hAnsi="Arial" w:cs="Arial"/>
        </w:rPr>
        <w:t xml:space="preserve"> </w:t>
      </w:r>
      <w:r w:rsidR="001231D5">
        <w:rPr>
          <w:rFonts w:ascii="Arial" w:hAnsi="Arial" w:cs="Arial"/>
        </w:rPr>
        <w:t xml:space="preserve">In order to take protected industrial </w:t>
      </w:r>
      <w:proofErr w:type="gramStart"/>
      <w:r w:rsidR="001231D5">
        <w:rPr>
          <w:rFonts w:ascii="Arial" w:hAnsi="Arial" w:cs="Arial"/>
        </w:rPr>
        <w:t>action</w:t>
      </w:r>
      <w:proofErr w:type="gramEnd"/>
      <w:r w:rsidR="001231D5">
        <w:rPr>
          <w:rFonts w:ascii="Arial" w:hAnsi="Arial" w:cs="Arial"/>
        </w:rPr>
        <w:t xml:space="preserve"> the </w:t>
      </w:r>
      <w:r w:rsidR="00D7458B" w:rsidRPr="001231D5">
        <w:rPr>
          <w:rFonts w:ascii="Arial" w:hAnsi="Arial" w:cs="Arial"/>
          <w:i/>
        </w:rPr>
        <w:t>Fair Work Act</w:t>
      </w:r>
      <w:r w:rsidR="00D7458B" w:rsidRPr="00287D65">
        <w:rPr>
          <w:rFonts w:ascii="Arial" w:hAnsi="Arial" w:cs="Arial"/>
        </w:rPr>
        <w:t xml:space="preserve"> requires union members to go through a detailed process of balloting members and approval through the Fair Work Commission. </w:t>
      </w:r>
      <w:r w:rsidR="00287D65">
        <w:rPr>
          <w:rFonts w:ascii="Arial" w:hAnsi="Arial" w:cs="Arial"/>
        </w:rPr>
        <w:t>This generally requires unions</w:t>
      </w:r>
      <w:r w:rsidR="00287D65" w:rsidRPr="00287D65">
        <w:rPr>
          <w:rFonts w:ascii="Arial" w:hAnsi="Arial" w:cs="Arial"/>
        </w:rPr>
        <w:t xml:space="preserve"> </w:t>
      </w:r>
      <w:r w:rsidR="00287D65">
        <w:rPr>
          <w:rFonts w:ascii="Arial" w:hAnsi="Arial" w:cs="Arial"/>
        </w:rPr>
        <w:t xml:space="preserve">to undertake organising to </w:t>
      </w:r>
      <w:r w:rsidR="00287D65" w:rsidRPr="00287D65">
        <w:rPr>
          <w:rFonts w:ascii="Arial" w:hAnsi="Arial" w:cs="Arial"/>
        </w:rPr>
        <w:t>ascertai</w:t>
      </w:r>
      <w:r w:rsidR="00287D65">
        <w:rPr>
          <w:rFonts w:ascii="Arial" w:hAnsi="Arial" w:cs="Arial"/>
        </w:rPr>
        <w:t>n</w:t>
      </w:r>
      <w:r w:rsidR="00287D65" w:rsidRPr="00287D65">
        <w:rPr>
          <w:rFonts w:ascii="Arial" w:hAnsi="Arial" w:cs="Arial"/>
        </w:rPr>
        <w:t xml:space="preserve"> whether members are prepared to </w:t>
      </w:r>
      <w:proofErr w:type="gramStart"/>
      <w:r w:rsidR="00287D65" w:rsidRPr="00287D65">
        <w:rPr>
          <w:rFonts w:ascii="Arial" w:hAnsi="Arial" w:cs="Arial"/>
        </w:rPr>
        <w:t>take action</w:t>
      </w:r>
      <w:proofErr w:type="gramEnd"/>
      <w:r w:rsidR="00287D65" w:rsidRPr="00287D65">
        <w:rPr>
          <w:rFonts w:ascii="Arial" w:hAnsi="Arial" w:cs="Arial"/>
        </w:rPr>
        <w:t>, decid</w:t>
      </w:r>
      <w:r w:rsidR="00287D65">
        <w:rPr>
          <w:rFonts w:ascii="Arial" w:hAnsi="Arial" w:cs="Arial"/>
        </w:rPr>
        <w:t>e</w:t>
      </w:r>
      <w:r w:rsidR="00287D65" w:rsidRPr="00287D65">
        <w:rPr>
          <w:rFonts w:ascii="Arial" w:hAnsi="Arial" w:cs="Arial"/>
        </w:rPr>
        <w:t xml:space="preserve"> what type of action members would like to take, inform the membership of possible action and reasons for action</w:t>
      </w:r>
      <w:r w:rsidR="00287D65">
        <w:rPr>
          <w:rFonts w:ascii="Arial" w:hAnsi="Arial" w:cs="Arial"/>
        </w:rPr>
        <w:t xml:space="preserve"> and inform members of the </w:t>
      </w:r>
      <w:r w:rsidR="00287D65" w:rsidRPr="00287D65">
        <w:rPr>
          <w:rFonts w:ascii="Arial" w:hAnsi="Arial" w:cs="Arial"/>
        </w:rPr>
        <w:t xml:space="preserve">vote on a protected action ballot. </w:t>
      </w:r>
      <w:proofErr w:type="gramStart"/>
      <w:r w:rsidR="00287D65">
        <w:rPr>
          <w:rFonts w:ascii="Arial" w:hAnsi="Arial" w:cs="Arial"/>
        </w:rPr>
        <w:t>All of</w:t>
      </w:r>
      <w:proofErr w:type="gramEnd"/>
      <w:r w:rsidR="00287D65">
        <w:rPr>
          <w:rFonts w:ascii="Arial" w:hAnsi="Arial" w:cs="Arial"/>
        </w:rPr>
        <w:t xml:space="preserve"> </w:t>
      </w:r>
      <w:r w:rsidR="00D7458B" w:rsidRPr="00287D65">
        <w:rPr>
          <w:rFonts w:ascii="Arial" w:hAnsi="Arial" w:cs="Arial"/>
        </w:rPr>
        <w:t>this planning</w:t>
      </w:r>
      <w:r w:rsidR="00287D65">
        <w:rPr>
          <w:rFonts w:ascii="Arial" w:hAnsi="Arial" w:cs="Arial"/>
        </w:rPr>
        <w:t xml:space="preserve"> and organising</w:t>
      </w:r>
      <w:r w:rsidR="00D7458B" w:rsidRPr="00287D65">
        <w:rPr>
          <w:rFonts w:ascii="Arial" w:hAnsi="Arial" w:cs="Arial"/>
        </w:rPr>
        <w:t xml:space="preserve"> takes place before </w:t>
      </w:r>
      <w:r w:rsidR="00287D65">
        <w:rPr>
          <w:rFonts w:ascii="Arial" w:hAnsi="Arial" w:cs="Arial"/>
        </w:rPr>
        <w:t xml:space="preserve">the action </w:t>
      </w:r>
      <w:r w:rsidR="00D7458B" w:rsidRPr="00287D65">
        <w:rPr>
          <w:rFonts w:ascii="Arial" w:hAnsi="Arial" w:cs="Arial"/>
        </w:rPr>
        <w:t>is considered ‘protected’ under the law. As such, almost all industrial action could at some point be considered a ground for deregistration as a result of this Bill’s expanded definition of ‘obstructive’ industrial action</w:t>
      </w:r>
      <w:r w:rsidR="001231D5">
        <w:rPr>
          <w:rFonts w:ascii="Arial" w:hAnsi="Arial" w:cs="Arial"/>
        </w:rPr>
        <w:t xml:space="preserve"> to include the organising of action</w:t>
      </w:r>
      <w:r w:rsidR="00D7458B" w:rsidRPr="00287D65">
        <w:rPr>
          <w:rFonts w:ascii="Arial" w:hAnsi="Arial" w:cs="Arial"/>
        </w:rPr>
        <w:t xml:space="preserve">. </w:t>
      </w:r>
      <w:r w:rsidR="00D7458B" w:rsidRPr="00287D65">
        <w:rPr>
          <w:rFonts w:ascii="Arial" w:hAnsi="Arial" w:cs="Arial"/>
        </w:rPr>
        <w:br/>
      </w:r>
    </w:p>
    <w:p w14:paraId="5206B920" w14:textId="3C9AB0EF" w:rsidR="00E52821" w:rsidRPr="00E52821" w:rsidRDefault="001231D5" w:rsidP="005020A7">
      <w:pPr>
        <w:pStyle w:val="ListParagraph"/>
        <w:numPr>
          <w:ilvl w:val="0"/>
          <w:numId w:val="5"/>
        </w:numPr>
        <w:spacing w:line="360" w:lineRule="auto"/>
        <w:rPr>
          <w:rFonts w:ascii="Arial" w:hAnsi="Arial" w:cs="Arial"/>
          <w:u w:val="single"/>
        </w:rPr>
      </w:pPr>
      <w:r>
        <w:rPr>
          <w:rFonts w:ascii="Arial" w:hAnsi="Arial" w:cs="Arial"/>
        </w:rPr>
        <w:t>O</w:t>
      </w:r>
      <w:r w:rsidR="00631F2A" w:rsidRPr="00E52821">
        <w:rPr>
          <w:rFonts w:ascii="Arial" w:hAnsi="Arial" w:cs="Arial"/>
        </w:rPr>
        <w:t>nly a class of members or group in the organisation need to have taken part in the organising or taking of the industrial action, which then has consequences for the entire organisation and membership.</w:t>
      </w:r>
    </w:p>
    <w:p w14:paraId="63FD97A0" w14:textId="57722BCA" w:rsidR="004C4646" w:rsidRPr="00E52821" w:rsidRDefault="004C4646" w:rsidP="00E52821">
      <w:pPr>
        <w:spacing w:line="360" w:lineRule="auto"/>
        <w:rPr>
          <w:rFonts w:ascii="Arial" w:hAnsi="Arial" w:cs="Arial"/>
          <w:u w:val="single"/>
        </w:rPr>
      </w:pPr>
      <w:r w:rsidRPr="00E52821">
        <w:rPr>
          <w:rFonts w:ascii="Arial" w:hAnsi="Arial" w:cs="Arial"/>
          <w:u w:val="single"/>
        </w:rPr>
        <w:t>Alternative orders</w:t>
      </w:r>
    </w:p>
    <w:p w14:paraId="3F4EBA4B" w14:textId="4A4DA826" w:rsidR="00287D65" w:rsidRDefault="000D088D" w:rsidP="000D088D">
      <w:pPr>
        <w:pStyle w:val="ListParagraph"/>
        <w:numPr>
          <w:ilvl w:val="0"/>
          <w:numId w:val="5"/>
        </w:numPr>
        <w:spacing w:line="360" w:lineRule="auto"/>
        <w:rPr>
          <w:rFonts w:ascii="Arial" w:hAnsi="Arial" w:cs="Arial"/>
        </w:rPr>
      </w:pPr>
      <w:r>
        <w:rPr>
          <w:rFonts w:ascii="Arial" w:hAnsi="Arial" w:cs="Arial"/>
        </w:rPr>
        <w:t>If the Court finds</w:t>
      </w:r>
      <w:r w:rsidR="00502AD5">
        <w:rPr>
          <w:rFonts w:ascii="Arial" w:hAnsi="Arial" w:cs="Arial"/>
        </w:rPr>
        <w:t xml:space="preserve"> a ground has been met, the Court is empowered</w:t>
      </w:r>
      <w:r>
        <w:rPr>
          <w:rFonts w:ascii="Arial" w:hAnsi="Arial" w:cs="Arial"/>
        </w:rPr>
        <w:t xml:space="preserve"> to make an order to deregister a union or </w:t>
      </w:r>
      <w:r w:rsidR="00502AD5">
        <w:rPr>
          <w:rFonts w:ascii="Arial" w:hAnsi="Arial" w:cs="Arial"/>
        </w:rPr>
        <w:t xml:space="preserve">to make </w:t>
      </w:r>
      <w:r>
        <w:rPr>
          <w:rFonts w:ascii="Arial" w:hAnsi="Arial" w:cs="Arial"/>
        </w:rPr>
        <w:t xml:space="preserve">alternative orders. Alternative orders can include the disqualification of certain officers, which is in addition to the disqualification powers </w:t>
      </w:r>
      <w:r>
        <w:rPr>
          <w:rFonts w:ascii="Arial" w:hAnsi="Arial" w:cs="Arial"/>
        </w:rPr>
        <w:lastRenderedPageBreak/>
        <w:t>outlined in Schedule One</w:t>
      </w:r>
      <w:r w:rsidR="00357A6C">
        <w:rPr>
          <w:rFonts w:ascii="Arial" w:hAnsi="Arial" w:cs="Arial"/>
        </w:rPr>
        <w:t xml:space="preserve"> of the Bill</w:t>
      </w:r>
      <w:r w:rsidR="00287D65">
        <w:rPr>
          <w:rStyle w:val="FootnoteReference"/>
          <w:rFonts w:ascii="Arial" w:hAnsi="Arial" w:cs="Arial"/>
        </w:rPr>
        <w:footnoteReference w:id="23"/>
      </w:r>
      <w:r w:rsidR="00357A6C">
        <w:rPr>
          <w:rFonts w:ascii="Arial" w:hAnsi="Arial" w:cs="Arial"/>
        </w:rPr>
        <w:t xml:space="preserve">. </w:t>
      </w:r>
      <w:r w:rsidR="00287D65">
        <w:rPr>
          <w:rFonts w:ascii="Arial" w:hAnsi="Arial" w:cs="Arial"/>
        </w:rPr>
        <w:br/>
      </w:r>
    </w:p>
    <w:p w14:paraId="12AEBC4E" w14:textId="3F2372C0" w:rsidR="004C4646" w:rsidRDefault="00357A6C" w:rsidP="000D088D">
      <w:pPr>
        <w:pStyle w:val="ListParagraph"/>
        <w:numPr>
          <w:ilvl w:val="0"/>
          <w:numId w:val="5"/>
        </w:numPr>
        <w:spacing w:line="360" w:lineRule="auto"/>
        <w:rPr>
          <w:rFonts w:ascii="Arial" w:hAnsi="Arial" w:cs="Arial"/>
        </w:rPr>
      </w:pPr>
      <w:r>
        <w:rPr>
          <w:rFonts w:ascii="Arial" w:hAnsi="Arial" w:cs="Arial"/>
        </w:rPr>
        <w:t>The C</w:t>
      </w:r>
      <w:r w:rsidR="00502AD5">
        <w:rPr>
          <w:rFonts w:ascii="Arial" w:hAnsi="Arial" w:cs="Arial"/>
        </w:rPr>
        <w:t xml:space="preserve">ourt is also empowered to </w:t>
      </w:r>
      <w:r w:rsidR="00D20F81">
        <w:rPr>
          <w:rFonts w:ascii="Arial" w:hAnsi="Arial" w:cs="Arial"/>
        </w:rPr>
        <w:t>suspend</w:t>
      </w:r>
      <w:r w:rsidR="000D088D">
        <w:rPr>
          <w:rFonts w:ascii="Arial" w:hAnsi="Arial" w:cs="Arial"/>
        </w:rPr>
        <w:t xml:space="preserve"> the rights and </w:t>
      </w:r>
      <w:r w:rsidR="00D20F81">
        <w:rPr>
          <w:rFonts w:ascii="Arial" w:hAnsi="Arial" w:cs="Arial"/>
        </w:rPr>
        <w:t>privileges</w:t>
      </w:r>
      <w:r w:rsidR="000D088D">
        <w:rPr>
          <w:rFonts w:ascii="Arial" w:hAnsi="Arial" w:cs="Arial"/>
        </w:rPr>
        <w:t xml:space="preserve"> of </w:t>
      </w:r>
      <w:r w:rsidR="00D20F81">
        <w:rPr>
          <w:rFonts w:ascii="Arial" w:hAnsi="Arial" w:cs="Arial"/>
        </w:rPr>
        <w:t>the organisation and its members</w:t>
      </w:r>
      <w:r w:rsidR="00D20F81">
        <w:rPr>
          <w:rStyle w:val="FootnoteReference"/>
          <w:rFonts w:ascii="Arial" w:hAnsi="Arial" w:cs="Arial"/>
        </w:rPr>
        <w:footnoteReference w:id="24"/>
      </w:r>
      <w:r>
        <w:rPr>
          <w:rFonts w:ascii="Arial" w:hAnsi="Arial" w:cs="Arial"/>
        </w:rPr>
        <w:t>. This includes restricting</w:t>
      </w:r>
      <w:r w:rsidR="00D20F81">
        <w:rPr>
          <w:rFonts w:ascii="Arial" w:hAnsi="Arial" w:cs="Arial"/>
        </w:rPr>
        <w:t xml:space="preserve"> the rights of union members to take protected industrial action or the rights of union</w:t>
      </w:r>
      <w:r>
        <w:rPr>
          <w:rFonts w:ascii="Arial" w:hAnsi="Arial" w:cs="Arial"/>
        </w:rPr>
        <w:t>s officials</w:t>
      </w:r>
      <w:r w:rsidR="00D20F81">
        <w:rPr>
          <w:rFonts w:ascii="Arial" w:hAnsi="Arial" w:cs="Arial"/>
        </w:rPr>
        <w:t xml:space="preserve"> to access union members on site by exercising their right of entry. </w:t>
      </w:r>
      <w:r w:rsidR="00502AD5">
        <w:rPr>
          <w:rFonts w:ascii="Arial" w:hAnsi="Arial" w:cs="Arial"/>
        </w:rPr>
        <w:t xml:space="preserve">This is an excessive measure, particularly considering </w:t>
      </w:r>
      <w:r w:rsidR="00922DFF">
        <w:rPr>
          <w:rFonts w:ascii="Arial" w:hAnsi="Arial" w:cs="Arial"/>
        </w:rPr>
        <w:t xml:space="preserve">an </w:t>
      </w:r>
      <w:r w:rsidR="00502AD5">
        <w:rPr>
          <w:rFonts w:ascii="Arial" w:hAnsi="Arial" w:cs="Arial"/>
        </w:rPr>
        <w:t xml:space="preserve">order can be made against the entire union, including all its branches, even if the </w:t>
      </w:r>
      <w:r w:rsidR="00922DFF">
        <w:rPr>
          <w:rFonts w:ascii="Arial" w:hAnsi="Arial" w:cs="Arial"/>
        </w:rPr>
        <w:t>grounds have only been met because of</w:t>
      </w:r>
      <w:r w:rsidR="00502AD5">
        <w:rPr>
          <w:rFonts w:ascii="Arial" w:hAnsi="Arial" w:cs="Arial"/>
        </w:rPr>
        <w:t xml:space="preserve"> the actions of one group or class of members (the minimum size of which has not been defined for the Bill). </w:t>
      </w:r>
      <w:r w:rsidR="00D20F81">
        <w:rPr>
          <w:rFonts w:ascii="Arial" w:hAnsi="Arial" w:cs="Arial"/>
        </w:rPr>
        <w:t xml:space="preserve"> </w:t>
      </w:r>
      <w:r w:rsidR="001231D5">
        <w:rPr>
          <w:rFonts w:ascii="Arial" w:hAnsi="Arial" w:cs="Arial"/>
        </w:rPr>
        <w:br/>
      </w:r>
    </w:p>
    <w:p w14:paraId="4CC510D4" w14:textId="3B996532" w:rsidR="001231D5" w:rsidRPr="00D76A7B" w:rsidRDefault="001231D5" w:rsidP="000D088D">
      <w:pPr>
        <w:pStyle w:val="ListParagraph"/>
        <w:numPr>
          <w:ilvl w:val="0"/>
          <w:numId w:val="5"/>
        </w:numPr>
        <w:spacing w:line="360" w:lineRule="auto"/>
        <w:rPr>
          <w:rFonts w:ascii="Arial" w:hAnsi="Arial" w:cs="Arial"/>
        </w:rPr>
      </w:pPr>
      <w:r>
        <w:rPr>
          <w:rFonts w:ascii="Arial" w:hAnsi="Arial" w:cs="Arial"/>
        </w:rPr>
        <w:t xml:space="preserve">Restricting the ability of union members to take protected industrial action will have a significant impact on the bargaining power of the affected workers. </w:t>
      </w:r>
      <w:r w:rsidR="00A27B3C">
        <w:rPr>
          <w:rFonts w:ascii="Arial" w:hAnsi="Arial" w:cs="Arial"/>
        </w:rPr>
        <w:t>A</w:t>
      </w:r>
      <w:r>
        <w:rPr>
          <w:rFonts w:ascii="Arial" w:hAnsi="Arial" w:cs="Arial"/>
        </w:rPr>
        <w:t>n application for alternate orders can be made by any person with significant interest, including employers</w:t>
      </w:r>
      <w:r w:rsidR="00A27B3C">
        <w:rPr>
          <w:rFonts w:ascii="Arial" w:hAnsi="Arial" w:cs="Arial"/>
        </w:rPr>
        <w:t xml:space="preserve">. There are no safeguards within the Bill to prevent employers from using this legislation as another means to undermine union collective action and power in negotiations around pay and conditions. </w:t>
      </w:r>
    </w:p>
    <w:p w14:paraId="547AB462" w14:textId="77777777" w:rsidR="00CD301A" w:rsidRPr="00D76A7B" w:rsidRDefault="00357A6C" w:rsidP="00D76A7B">
      <w:pPr>
        <w:spacing w:line="360" w:lineRule="auto"/>
        <w:rPr>
          <w:rFonts w:ascii="Arial" w:hAnsi="Arial" w:cs="Arial"/>
        </w:rPr>
      </w:pPr>
      <w:r>
        <w:rPr>
          <w:rFonts w:ascii="Arial" w:hAnsi="Arial" w:cs="Arial"/>
          <w:u w:val="single"/>
        </w:rPr>
        <w:t xml:space="preserve">Retrospectivity </w:t>
      </w:r>
    </w:p>
    <w:p w14:paraId="0266E859" w14:textId="0C5CFDB2" w:rsidR="00CD301A" w:rsidRDefault="00357A6C" w:rsidP="000D088D">
      <w:pPr>
        <w:pStyle w:val="ListParagraph"/>
        <w:numPr>
          <w:ilvl w:val="0"/>
          <w:numId w:val="5"/>
        </w:numPr>
        <w:spacing w:line="360" w:lineRule="auto"/>
        <w:rPr>
          <w:rFonts w:ascii="Arial" w:hAnsi="Arial" w:cs="Arial"/>
        </w:rPr>
      </w:pPr>
      <w:proofErr w:type="gramStart"/>
      <w:r>
        <w:rPr>
          <w:rFonts w:ascii="Arial" w:hAnsi="Arial" w:cs="Arial"/>
        </w:rPr>
        <w:t>Similar to</w:t>
      </w:r>
      <w:proofErr w:type="gramEnd"/>
      <w:r>
        <w:rPr>
          <w:rFonts w:ascii="Arial" w:hAnsi="Arial" w:cs="Arial"/>
        </w:rPr>
        <w:t xml:space="preserve"> orders made in relation to disqualification of officials, when considering if a </w:t>
      </w:r>
      <w:r w:rsidR="00CD301A" w:rsidRPr="00D76A7B">
        <w:rPr>
          <w:rFonts w:ascii="Arial" w:hAnsi="Arial" w:cs="Arial"/>
        </w:rPr>
        <w:t xml:space="preserve">deregistration or alternative order is just, </w:t>
      </w:r>
      <w:r>
        <w:rPr>
          <w:rFonts w:ascii="Arial" w:hAnsi="Arial" w:cs="Arial"/>
        </w:rPr>
        <w:t xml:space="preserve">the Court </w:t>
      </w:r>
      <w:r w:rsidR="00034F6D">
        <w:rPr>
          <w:rFonts w:ascii="Arial" w:hAnsi="Arial" w:cs="Arial"/>
        </w:rPr>
        <w:t>must consider ‘any other matters the Court consider relevant’. There is no restriction placed on the timing of these other ‘relevant’ matters, meaning actions and the Court can consider events prior to the commencement, effectively making the legislation retrospective</w:t>
      </w:r>
      <w:r w:rsidR="00D31905">
        <w:rPr>
          <w:rStyle w:val="FootnoteReference"/>
          <w:rFonts w:ascii="Arial" w:hAnsi="Arial" w:cs="Arial"/>
        </w:rPr>
        <w:footnoteReference w:id="25"/>
      </w:r>
      <w:r w:rsidR="00034F6D">
        <w:rPr>
          <w:rFonts w:ascii="Arial" w:hAnsi="Arial" w:cs="Arial"/>
        </w:rPr>
        <w:t xml:space="preserve">. </w:t>
      </w:r>
    </w:p>
    <w:p w14:paraId="40EC6284" w14:textId="77777777" w:rsidR="00357A6C" w:rsidRPr="00357A6C" w:rsidRDefault="00BD02F1" w:rsidP="00357A6C">
      <w:pPr>
        <w:spacing w:line="360" w:lineRule="auto"/>
        <w:rPr>
          <w:rFonts w:ascii="Arial" w:hAnsi="Arial" w:cs="Arial"/>
          <w:u w:val="single"/>
        </w:rPr>
      </w:pPr>
      <w:r>
        <w:rPr>
          <w:rFonts w:ascii="Arial" w:hAnsi="Arial" w:cs="Arial"/>
          <w:u w:val="single"/>
        </w:rPr>
        <w:t>O</w:t>
      </w:r>
      <w:r w:rsidR="00357A6C" w:rsidRPr="00357A6C">
        <w:rPr>
          <w:rFonts w:ascii="Arial" w:hAnsi="Arial" w:cs="Arial"/>
          <w:u w:val="single"/>
        </w:rPr>
        <w:t>nus of proof</w:t>
      </w:r>
    </w:p>
    <w:p w14:paraId="478C4709" w14:textId="77777777" w:rsidR="00034F6D" w:rsidRPr="00BD02F1" w:rsidRDefault="00034F6D" w:rsidP="00BD02F1">
      <w:pPr>
        <w:pStyle w:val="ListParagraph"/>
        <w:numPr>
          <w:ilvl w:val="0"/>
          <w:numId w:val="5"/>
        </w:numPr>
        <w:spacing w:line="360" w:lineRule="auto"/>
        <w:rPr>
          <w:rFonts w:ascii="Arial" w:hAnsi="Arial" w:cs="Arial"/>
        </w:rPr>
      </w:pPr>
      <w:r>
        <w:rPr>
          <w:rFonts w:ascii="Arial" w:hAnsi="Arial" w:cs="Arial"/>
        </w:rPr>
        <w:t>I</w:t>
      </w:r>
      <w:r w:rsidRPr="00034F6D">
        <w:rPr>
          <w:rFonts w:ascii="Arial" w:hAnsi="Arial" w:cs="Arial"/>
        </w:rPr>
        <w:t xml:space="preserve">f the </w:t>
      </w:r>
      <w:r>
        <w:rPr>
          <w:rFonts w:ascii="Arial" w:hAnsi="Arial" w:cs="Arial"/>
        </w:rPr>
        <w:t xml:space="preserve">grounds for deregistration are met, the organisation must satisfy the Court that it would be unjust to cancel its registration. If the organisation does not </w:t>
      </w:r>
      <w:r w:rsidR="008652AF">
        <w:rPr>
          <w:rFonts w:ascii="Arial" w:hAnsi="Arial" w:cs="Arial"/>
        </w:rPr>
        <w:t>satisfy</w:t>
      </w:r>
      <w:r>
        <w:rPr>
          <w:rFonts w:ascii="Arial" w:hAnsi="Arial" w:cs="Arial"/>
        </w:rPr>
        <w:t xml:space="preserve"> the Court, the registration must be cancelled</w:t>
      </w:r>
      <w:r w:rsidR="005D6B13">
        <w:rPr>
          <w:rStyle w:val="FootnoteReference"/>
          <w:rFonts w:ascii="Arial" w:hAnsi="Arial" w:cs="Arial"/>
        </w:rPr>
        <w:footnoteReference w:id="26"/>
      </w:r>
      <w:r>
        <w:rPr>
          <w:rFonts w:ascii="Arial" w:hAnsi="Arial" w:cs="Arial"/>
        </w:rPr>
        <w:t xml:space="preserve">. </w:t>
      </w:r>
      <w:proofErr w:type="gramStart"/>
      <w:r>
        <w:rPr>
          <w:rFonts w:ascii="Arial" w:hAnsi="Arial" w:cs="Arial"/>
        </w:rPr>
        <w:t>Similarly</w:t>
      </w:r>
      <w:proofErr w:type="gramEnd"/>
      <w:r>
        <w:rPr>
          <w:rFonts w:ascii="Arial" w:hAnsi="Arial" w:cs="Arial"/>
        </w:rPr>
        <w:t xml:space="preserve"> to the disqualification of officials, the legislation has shifted the burden of proof onto the organisation. In this </w:t>
      </w:r>
      <w:r w:rsidR="008652AF">
        <w:rPr>
          <w:rFonts w:ascii="Arial" w:hAnsi="Arial" w:cs="Arial"/>
        </w:rPr>
        <w:t>instance, if grounds have been established against a union, it must stand before the Court and justify</w:t>
      </w:r>
      <w:r w:rsidR="005D6B13">
        <w:rPr>
          <w:rFonts w:ascii="Arial" w:hAnsi="Arial" w:cs="Arial"/>
        </w:rPr>
        <w:t xml:space="preserve"> its very existence. In considering if the deregistration is unjust, the Court must have regard to the best interests of the members as a whole</w:t>
      </w:r>
      <w:r w:rsidR="005D6B13">
        <w:rPr>
          <w:rStyle w:val="FootnoteReference"/>
          <w:rFonts w:ascii="Arial" w:hAnsi="Arial" w:cs="Arial"/>
        </w:rPr>
        <w:footnoteReference w:id="27"/>
      </w:r>
      <w:r w:rsidR="005D6B13">
        <w:rPr>
          <w:rFonts w:ascii="Arial" w:hAnsi="Arial" w:cs="Arial"/>
        </w:rPr>
        <w:t xml:space="preserve">. The idea that a court would decide what is in the best interests of union members, when considering </w:t>
      </w:r>
      <w:proofErr w:type="gramStart"/>
      <w:r w:rsidR="005D6B13">
        <w:rPr>
          <w:rFonts w:ascii="Arial" w:hAnsi="Arial" w:cs="Arial"/>
        </w:rPr>
        <w:lastRenderedPageBreak/>
        <w:t>whether or not</w:t>
      </w:r>
      <w:proofErr w:type="gramEnd"/>
      <w:r w:rsidR="005D6B13">
        <w:rPr>
          <w:rFonts w:ascii="Arial" w:hAnsi="Arial" w:cs="Arial"/>
        </w:rPr>
        <w:t xml:space="preserve"> to effectively abolish a union, is offensi</w:t>
      </w:r>
      <w:r w:rsidR="00BD1B62">
        <w:rPr>
          <w:rFonts w:ascii="Arial" w:hAnsi="Arial" w:cs="Arial"/>
        </w:rPr>
        <w:t xml:space="preserve">ve and misplaced. Unions </w:t>
      </w:r>
      <w:r w:rsidR="005D6B13">
        <w:rPr>
          <w:rFonts w:ascii="Arial" w:hAnsi="Arial" w:cs="Arial"/>
        </w:rPr>
        <w:t>are democratic organisations who</w:t>
      </w:r>
      <w:r w:rsidR="00BD1B62">
        <w:rPr>
          <w:rFonts w:ascii="Arial" w:hAnsi="Arial" w:cs="Arial"/>
        </w:rPr>
        <w:t>se membership hold the</w:t>
      </w:r>
      <w:r w:rsidR="005D6B13">
        <w:rPr>
          <w:rFonts w:ascii="Arial" w:hAnsi="Arial" w:cs="Arial"/>
        </w:rPr>
        <w:t xml:space="preserve"> leadership accountable through elections and internal </w:t>
      </w:r>
      <w:r w:rsidR="00BD02F1">
        <w:rPr>
          <w:rFonts w:ascii="Arial" w:hAnsi="Arial" w:cs="Arial"/>
        </w:rPr>
        <w:t xml:space="preserve">union structures. </w:t>
      </w:r>
    </w:p>
    <w:p w14:paraId="6B8DF005" w14:textId="77777777" w:rsidR="00B212C6" w:rsidRPr="001B2CD1" w:rsidRDefault="00B212C6" w:rsidP="00D76A7B">
      <w:pPr>
        <w:spacing w:line="360" w:lineRule="auto"/>
        <w:rPr>
          <w:rFonts w:ascii="Arial" w:hAnsi="Arial" w:cs="Arial"/>
          <w:b/>
          <w:sz w:val="32"/>
          <w:szCs w:val="32"/>
        </w:rPr>
      </w:pPr>
      <w:r w:rsidRPr="001B2CD1">
        <w:rPr>
          <w:rFonts w:ascii="Arial" w:hAnsi="Arial" w:cs="Arial"/>
          <w:b/>
          <w:sz w:val="32"/>
          <w:szCs w:val="32"/>
        </w:rPr>
        <w:t>Schedule Three – Dysfunction</w:t>
      </w:r>
    </w:p>
    <w:p w14:paraId="5A2455C2" w14:textId="77777777" w:rsidR="00A27B3C" w:rsidRPr="00A27B3C" w:rsidRDefault="00BD1B62" w:rsidP="0035025F">
      <w:pPr>
        <w:pStyle w:val="ListParagraph"/>
        <w:numPr>
          <w:ilvl w:val="0"/>
          <w:numId w:val="5"/>
        </w:numPr>
        <w:spacing w:line="360" w:lineRule="auto"/>
        <w:ind w:left="360"/>
        <w:rPr>
          <w:rFonts w:ascii="Arial" w:hAnsi="Arial" w:cs="Arial"/>
          <w:u w:val="single"/>
        </w:rPr>
      </w:pPr>
      <w:r w:rsidRPr="00A27B3C">
        <w:rPr>
          <w:rFonts w:ascii="Arial" w:hAnsi="Arial" w:cs="Arial"/>
        </w:rPr>
        <w:t>Schedule Three provides the Federal Court with the power to make a declaration</w:t>
      </w:r>
      <w:r w:rsidR="00BF72A5" w:rsidRPr="00A27B3C">
        <w:rPr>
          <w:rFonts w:ascii="Arial" w:hAnsi="Arial" w:cs="Arial"/>
        </w:rPr>
        <w:t xml:space="preserve"> that a union is dysfunctional</w:t>
      </w:r>
      <w:r w:rsidRPr="00A27B3C">
        <w:rPr>
          <w:rFonts w:ascii="Arial" w:hAnsi="Arial" w:cs="Arial"/>
        </w:rPr>
        <w:t>, followed by orders to place a union</w:t>
      </w:r>
      <w:r w:rsidR="00BF72A5" w:rsidRPr="00A27B3C">
        <w:rPr>
          <w:rFonts w:ascii="Arial" w:hAnsi="Arial" w:cs="Arial"/>
        </w:rPr>
        <w:t xml:space="preserve"> or part of a union</w:t>
      </w:r>
      <w:r w:rsidRPr="00A27B3C">
        <w:rPr>
          <w:rFonts w:ascii="Arial" w:hAnsi="Arial" w:cs="Arial"/>
        </w:rPr>
        <w:t xml:space="preserve"> into administration.</w:t>
      </w:r>
      <w:r w:rsidR="00E34DE4" w:rsidRPr="00A27B3C">
        <w:rPr>
          <w:rFonts w:ascii="Arial" w:hAnsi="Arial" w:cs="Arial"/>
        </w:rPr>
        <w:t xml:space="preserve"> </w:t>
      </w:r>
      <w:r w:rsidR="00B0758C" w:rsidRPr="00A27B3C">
        <w:rPr>
          <w:rFonts w:ascii="Arial" w:hAnsi="Arial" w:cs="Arial"/>
        </w:rPr>
        <w:t xml:space="preserve">The declaration can be made following an application from the Commissioner, the Minister, the organisation, a member of the organisation or any other person having a </w:t>
      </w:r>
      <w:proofErr w:type="gramStart"/>
      <w:r w:rsidR="00B0758C" w:rsidRPr="00A27B3C">
        <w:rPr>
          <w:rFonts w:ascii="Arial" w:hAnsi="Arial" w:cs="Arial"/>
        </w:rPr>
        <w:t>sufficient</w:t>
      </w:r>
      <w:proofErr w:type="gramEnd"/>
      <w:r w:rsidR="00B0758C" w:rsidRPr="00A27B3C">
        <w:rPr>
          <w:rFonts w:ascii="Arial" w:hAnsi="Arial" w:cs="Arial"/>
        </w:rPr>
        <w:t xml:space="preserve"> interest in the organisation</w:t>
      </w:r>
      <w:r w:rsidR="00B0758C">
        <w:rPr>
          <w:rStyle w:val="FootnoteReference"/>
          <w:rFonts w:ascii="Arial" w:hAnsi="Arial" w:cs="Arial"/>
        </w:rPr>
        <w:footnoteReference w:id="28"/>
      </w:r>
      <w:r w:rsidR="00B0758C" w:rsidRPr="00A27B3C">
        <w:rPr>
          <w:rFonts w:ascii="Arial" w:hAnsi="Arial" w:cs="Arial"/>
        </w:rPr>
        <w:t xml:space="preserve">. </w:t>
      </w:r>
    </w:p>
    <w:p w14:paraId="4D8662C0" w14:textId="053EED5A" w:rsidR="00740748" w:rsidRPr="00A27B3C" w:rsidRDefault="00740748" w:rsidP="00A27B3C">
      <w:pPr>
        <w:spacing w:line="360" w:lineRule="auto"/>
        <w:rPr>
          <w:rFonts w:ascii="Arial" w:hAnsi="Arial" w:cs="Arial"/>
          <w:u w:val="single"/>
        </w:rPr>
      </w:pPr>
      <w:r w:rsidRPr="00A27B3C">
        <w:rPr>
          <w:rFonts w:ascii="Arial" w:hAnsi="Arial" w:cs="Arial"/>
          <w:u w:val="single"/>
        </w:rPr>
        <w:t>Declaration of dysfunction</w:t>
      </w:r>
    </w:p>
    <w:p w14:paraId="502495D5" w14:textId="5A88F76F" w:rsidR="00E34DE4" w:rsidRPr="00E34DE4" w:rsidRDefault="00815FEC" w:rsidP="0001696B">
      <w:pPr>
        <w:pStyle w:val="ListParagraph"/>
        <w:numPr>
          <w:ilvl w:val="0"/>
          <w:numId w:val="5"/>
        </w:numPr>
        <w:spacing w:line="360" w:lineRule="auto"/>
        <w:rPr>
          <w:rFonts w:ascii="Arial" w:hAnsi="Arial" w:cs="Arial"/>
        </w:rPr>
      </w:pPr>
      <w:r w:rsidRPr="00E34DE4">
        <w:rPr>
          <w:rFonts w:ascii="Arial" w:hAnsi="Arial" w:cs="Arial"/>
        </w:rPr>
        <w:t xml:space="preserve">A declaration of dysfunction can be made on the basis that one or more officers have engaged in financial misconduct, officers have acted in their own interests rather than the interests of members as a part or whole, or the organisation has conducted affairs that are </w:t>
      </w:r>
      <w:r w:rsidR="00A42968">
        <w:rPr>
          <w:rFonts w:ascii="Arial" w:hAnsi="Arial" w:cs="Arial"/>
        </w:rPr>
        <w:t>discriminatory against a member or class or members or are contrary to the interests of the members of the organisation or part as a whole</w:t>
      </w:r>
      <w:r>
        <w:rPr>
          <w:rStyle w:val="FootnoteReference"/>
          <w:rFonts w:ascii="Arial" w:hAnsi="Arial" w:cs="Arial"/>
        </w:rPr>
        <w:footnoteReference w:id="29"/>
      </w:r>
      <w:r w:rsidRPr="00E34DE4">
        <w:rPr>
          <w:rFonts w:ascii="Arial" w:hAnsi="Arial" w:cs="Arial"/>
        </w:rPr>
        <w:t>.</w:t>
      </w:r>
      <w:r w:rsidR="00B0758C">
        <w:rPr>
          <w:rFonts w:ascii="Arial" w:hAnsi="Arial" w:cs="Arial"/>
        </w:rPr>
        <w:t xml:space="preserve"> The grounds for dysfunction are highly dependent on the actions of individuals within unions. The ability to </w:t>
      </w:r>
      <w:r w:rsidR="00AF272D">
        <w:rPr>
          <w:rFonts w:ascii="Arial" w:hAnsi="Arial" w:cs="Arial"/>
        </w:rPr>
        <w:t xml:space="preserve">place a union into administration because of the actions of an individual officer is extreme and unnecessary. The grounds also capture minor administrative errors concerning the financial operation of the union. For example, if a union was late in filing their financial reports to the Fair Work Commission, this could be </w:t>
      </w:r>
      <w:r w:rsidR="00B16FC9">
        <w:rPr>
          <w:rFonts w:ascii="Arial" w:hAnsi="Arial" w:cs="Arial"/>
        </w:rPr>
        <w:t>used as a ground to claim the union is dysfunctional</w:t>
      </w:r>
      <w:r w:rsidR="00A27B3C">
        <w:rPr>
          <w:rFonts w:ascii="Arial" w:hAnsi="Arial" w:cs="Arial"/>
        </w:rPr>
        <w:t xml:space="preserve"> under the proposed section 323(3)(b)</w:t>
      </w:r>
      <w:r w:rsidR="00B16FC9">
        <w:rPr>
          <w:rFonts w:ascii="Arial" w:hAnsi="Arial" w:cs="Arial"/>
        </w:rPr>
        <w:t xml:space="preserve">.  </w:t>
      </w:r>
      <w:r w:rsidR="00AF272D">
        <w:rPr>
          <w:rFonts w:ascii="Arial" w:hAnsi="Arial" w:cs="Arial"/>
          <w:i/>
        </w:rPr>
        <w:t xml:space="preserve"> </w:t>
      </w:r>
      <w:r w:rsidR="00E34DE4" w:rsidRPr="00E34DE4">
        <w:rPr>
          <w:rFonts w:ascii="Arial" w:hAnsi="Arial" w:cs="Arial"/>
        </w:rPr>
        <w:br/>
      </w:r>
    </w:p>
    <w:p w14:paraId="3F93ECFD" w14:textId="6A20F572" w:rsidR="00740748" w:rsidRPr="00740748" w:rsidRDefault="00740748" w:rsidP="00740748">
      <w:pPr>
        <w:pStyle w:val="ListParagraph"/>
        <w:numPr>
          <w:ilvl w:val="0"/>
          <w:numId w:val="5"/>
        </w:numPr>
        <w:spacing w:line="360" w:lineRule="auto"/>
        <w:rPr>
          <w:rFonts w:ascii="Arial" w:hAnsi="Arial" w:cs="Arial"/>
        </w:rPr>
      </w:pPr>
      <w:r>
        <w:rPr>
          <w:rFonts w:ascii="Arial" w:hAnsi="Arial" w:cs="Arial"/>
        </w:rPr>
        <w:t xml:space="preserve">As outlined above in response to Schedule Two of the Bill, a ground for dysfunction that requires a union to dually operate in the interests of the collective and individual members runs contrary to the nature of </w:t>
      </w:r>
      <w:r w:rsidRPr="00740748">
        <w:rPr>
          <w:rFonts w:ascii="Arial" w:hAnsi="Arial" w:cs="Arial"/>
        </w:rPr>
        <w:t>diverse, democratically run organisations like unions. The nature of unions requires them to balance the needs and interests of individuals against those of the broader collective.</w:t>
      </w:r>
      <w:r>
        <w:rPr>
          <w:rFonts w:ascii="Arial" w:hAnsi="Arial" w:cs="Arial"/>
        </w:rPr>
        <w:br/>
      </w:r>
    </w:p>
    <w:p w14:paraId="498A2CD9" w14:textId="55ADEE8B" w:rsidR="00B16FC9" w:rsidRDefault="00E34DE4" w:rsidP="001B2CD1">
      <w:pPr>
        <w:pStyle w:val="ListParagraph"/>
        <w:numPr>
          <w:ilvl w:val="0"/>
          <w:numId w:val="5"/>
        </w:numPr>
        <w:spacing w:line="360" w:lineRule="auto"/>
        <w:rPr>
          <w:rFonts w:ascii="Arial" w:hAnsi="Arial" w:cs="Arial"/>
        </w:rPr>
      </w:pPr>
      <w:r>
        <w:rPr>
          <w:rFonts w:ascii="Arial" w:hAnsi="Arial" w:cs="Arial"/>
        </w:rPr>
        <w:t>A dec</w:t>
      </w:r>
      <w:r w:rsidR="00B0758C">
        <w:rPr>
          <w:rFonts w:ascii="Arial" w:hAnsi="Arial" w:cs="Arial"/>
        </w:rPr>
        <w:t>laration</w:t>
      </w:r>
      <w:r>
        <w:rPr>
          <w:rFonts w:ascii="Arial" w:hAnsi="Arial" w:cs="Arial"/>
        </w:rPr>
        <w:t xml:space="preserve"> of dysfunction can also be made if the court </w:t>
      </w:r>
      <w:r w:rsidR="00B0758C">
        <w:rPr>
          <w:rFonts w:ascii="Arial" w:hAnsi="Arial" w:cs="Arial"/>
        </w:rPr>
        <w:t xml:space="preserve">is satisfied that </w:t>
      </w:r>
      <w:r>
        <w:rPr>
          <w:rFonts w:ascii="Arial" w:hAnsi="Arial" w:cs="Arial"/>
        </w:rPr>
        <w:t>officers of the organisation have contravened designated laws on multiple occasions, have repeatedly failed to fulfil their duties as officers o</w:t>
      </w:r>
      <w:r w:rsidR="00A42968">
        <w:rPr>
          <w:rFonts w:ascii="Arial" w:hAnsi="Arial" w:cs="Arial"/>
        </w:rPr>
        <w:t>f</w:t>
      </w:r>
      <w:r w:rsidR="00B16FC9">
        <w:rPr>
          <w:rFonts w:ascii="Arial" w:hAnsi="Arial" w:cs="Arial"/>
        </w:rPr>
        <w:t xml:space="preserve"> </w:t>
      </w:r>
      <w:r>
        <w:rPr>
          <w:rFonts w:ascii="Arial" w:hAnsi="Arial" w:cs="Arial"/>
        </w:rPr>
        <w:t xml:space="preserve">the organisation or part of the </w:t>
      </w:r>
      <w:r>
        <w:rPr>
          <w:rFonts w:ascii="Arial" w:hAnsi="Arial" w:cs="Arial"/>
        </w:rPr>
        <w:lastRenderedPageBreak/>
        <w:t>organisation</w:t>
      </w:r>
      <w:r w:rsidR="00740748">
        <w:rPr>
          <w:rFonts w:ascii="Arial" w:hAnsi="Arial" w:cs="Arial"/>
        </w:rPr>
        <w:t>, or misappropriated funds</w:t>
      </w:r>
      <w:r>
        <w:rPr>
          <w:rStyle w:val="FootnoteReference"/>
          <w:rFonts w:ascii="Arial" w:hAnsi="Arial" w:cs="Arial"/>
        </w:rPr>
        <w:footnoteReference w:id="30"/>
      </w:r>
      <w:r>
        <w:rPr>
          <w:rFonts w:ascii="Arial" w:hAnsi="Arial" w:cs="Arial"/>
        </w:rPr>
        <w:t>.</w:t>
      </w:r>
      <w:r w:rsidR="00B16FC9">
        <w:rPr>
          <w:rFonts w:ascii="Arial" w:hAnsi="Arial" w:cs="Arial"/>
        </w:rPr>
        <w:t xml:space="preserve"> </w:t>
      </w:r>
      <w:r w:rsidR="00B16FC9">
        <w:rPr>
          <w:rFonts w:ascii="Arial" w:hAnsi="Arial" w:cs="Arial"/>
        </w:rPr>
        <w:br/>
      </w:r>
    </w:p>
    <w:p w14:paraId="2FAA96D0" w14:textId="1A84FB57" w:rsidR="00815FEC" w:rsidRDefault="00B16FC9" w:rsidP="001B2CD1">
      <w:pPr>
        <w:pStyle w:val="ListParagraph"/>
        <w:numPr>
          <w:ilvl w:val="0"/>
          <w:numId w:val="5"/>
        </w:numPr>
        <w:spacing w:line="360" w:lineRule="auto"/>
        <w:rPr>
          <w:rFonts w:ascii="Arial" w:hAnsi="Arial" w:cs="Arial"/>
        </w:rPr>
      </w:pPr>
      <w:r>
        <w:rPr>
          <w:rFonts w:ascii="Arial" w:hAnsi="Arial" w:cs="Arial"/>
        </w:rPr>
        <w:t>It is not clear what the legislation is trying to capture when it refers to officers who have ‘repeatedly failed to fulfil duties’</w:t>
      </w:r>
      <w:r>
        <w:rPr>
          <w:rStyle w:val="FootnoteReference"/>
          <w:rFonts w:ascii="Arial" w:hAnsi="Arial" w:cs="Arial"/>
        </w:rPr>
        <w:footnoteReference w:id="31"/>
      </w:r>
      <w:r>
        <w:rPr>
          <w:rFonts w:ascii="Arial" w:hAnsi="Arial" w:cs="Arial"/>
        </w:rPr>
        <w:t xml:space="preserve">. The duties of a union officer are broad and open to interpretation. This ground could be open to abuse by disgruntled former members and employers to make applications </w:t>
      </w:r>
      <w:r w:rsidR="00740748">
        <w:rPr>
          <w:rFonts w:ascii="Arial" w:hAnsi="Arial" w:cs="Arial"/>
        </w:rPr>
        <w:t xml:space="preserve">against unions and disrupt their work. </w:t>
      </w:r>
      <w:r>
        <w:rPr>
          <w:rFonts w:ascii="Arial" w:hAnsi="Arial" w:cs="Arial"/>
        </w:rPr>
        <w:t xml:space="preserve">  </w:t>
      </w:r>
    </w:p>
    <w:p w14:paraId="7AAAE722" w14:textId="7EDAB529" w:rsidR="00740748" w:rsidRDefault="00740748" w:rsidP="00740748">
      <w:pPr>
        <w:spacing w:line="360" w:lineRule="auto"/>
        <w:rPr>
          <w:rFonts w:ascii="Arial" w:hAnsi="Arial" w:cs="Arial"/>
          <w:u w:val="single"/>
        </w:rPr>
      </w:pPr>
      <w:r>
        <w:rPr>
          <w:rFonts w:ascii="Arial" w:hAnsi="Arial" w:cs="Arial"/>
          <w:u w:val="single"/>
        </w:rPr>
        <w:t xml:space="preserve">Orders </w:t>
      </w:r>
    </w:p>
    <w:p w14:paraId="2764E919" w14:textId="06D4E67A" w:rsidR="00740748" w:rsidRDefault="00E52821" w:rsidP="00740748">
      <w:pPr>
        <w:pStyle w:val="ListParagraph"/>
        <w:numPr>
          <w:ilvl w:val="0"/>
          <w:numId w:val="5"/>
        </w:numPr>
        <w:spacing w:line="360" w:lineRule="auto"/>
        <w:rPr>
          <w:rFonts w:ascii="Arial" w:hAnsi="Arial" w:cs="Arial"/>
        </w:rPr>
      </w:pPr>
      <w:r>
        <w:rPr>
          <w:rFonts w:ascii="Arial" w:hAnsi="Arial" w:cs="Arial"/>
        </w:rPr>
        <w:t>If the Court declares the union is dysfunctional, it may make an order requiring the union to appoint an administrator or report to the Court about the operation of the union. The Court may also set elections for the union</w:t>
      </w:r>
      <w:r>
        <w:rPr>
          <w:rStyle w:val="FootnoteReference"/>
          <w:rFonts w:ascii="Arial" w:hAnsi="Arial" w:cs="Arial"/>
        </w:rPr>
        <w:footnoteReference w:id="32"/>
      </w:r>
      <w:r>
        <w:rPr>
          <w:rFonts w:ascii="Arial" w:hAnsi="Arial" w:cs="Arial"/>
        </w:rPr>
        <w:t xml:space="preserve">. </w:t>
      </w:r>
      <w:r>
        <w:rPr>
          <w:rFonts w:ascii="Arial" w:hAnsi="Arial" w:cs="Arial"/>
        </w:rPr>
        <w:br/>
      </w:r>
    </w:p>
    <w:p w14:paraId="68C53056" w14:textId="1793831F" w:rsidR="00740748" w:rsidRDefault="00E52821" w:rsidP="00740748">
      <w:pPr>
        <w:pStyle w:val="ListParagraph"/>
        <w:numPr>
          <w:ilvl w:val="0"/>
          <w:numId w:val="5"/>
        </w:numPr>
        <w:spacing w:line="360" w:lineRule="auto"/>
        <w:rPr>
          <w:rFonts w:ascii="Arial" w:hAnsi="Arial" w:cs="Arial"/>
        </w:rPr>
      </w:pPr>
      <w:r>
        <w:rPr>
          <w:rFonts w:ascii="Arial" w:hAnsi="Arial" w:cs="Arial"/>
        </w:rPr>
        <w:t>If the court appoints an administrator to the union, union officers including employees are required to work with the administrator and provide all relevant information</w:t>
      </w:r>
      <w:r>
        <w:rPr>
          <w:rStyle w:val="FootnoteReference"/>
          <w:rFonts w:ascii="Arial" w:hAnsi="Arial" w:cs="Arial"/>
        </w:rPr>
        <w:footnoteReference w:id="33"/>
      </w:r>
      <w:r>
        <w:rPr>
          <w:rFonts w:ascii="Arial" w:hAnsi="Arial" w:cs="Arial"/>
        </w:rPr>
        <w:t>. Failure to comply w</w:t>
      </w:r>
      <w:r w:rsidR="00B05539">
        <w:rPr>
          <w:rFonts w:ascii="Arial" w:hAnsi="Arial" w:cs="Arial"/>
        </w:rPr>
        <w:t>ith this section of the Bill is a strict liability offence of 120 penalty units</w:t>
      </w:r>
      <w:r w:rsidR="00B05539">
        <w:rPr>
          <w:rStyle w:val="FootnoteReference"/>
          <w:rFonts w:ascii="Arial" w:hAnsi="Arial" w:cs="Arial"/>
        </w:rPr>
        <w:footnoteReference w:id="34"/>
      </w:r>
      <w:r w:rsidR="00B05539">
        <w:rPr>
          <w:rFonts w:ascii="Arial" w:hAnsi="Arial" w:cs="Arial"/>
        </w:rPr>
        <w:t>. The penalty for this offence has more than double</w:t>
      </w:r>
      <w:r w:rsidR="00145B4F">
        <w:rPr>
          <w:rFonts w:ascii="Arial" w:hAnsi="Arial" w:cs="Arial"/>
        </w:rPr>
        <w:t>d</w:t>
      </w:r>
      <w:r w:rsidR="00B05539">
        <w:rPr>
          <w:rFonts w:ascii="Arial" w:hAnsi="Arial" w:cs="Arial"/>
        </w:rPr>
        <w:t xml:space="preserve"> since the 2017 drafting of the Bill where the penalty was 50 penalty units</w:t>
      </w:r>
      <w:r w:rsidR="00B05539">
        <w:rPr>
          <w:rStyle w:val="FootnoteReference"/>
          <w:rFonts w:ascii="Arial" w:hAnsi="Arial" w:cs="Arial"/>
        </w:rPr>
        <w:footnoteReference w:id="35"/>
      </w:r>
      <w:r w:rsidR="00B05539">
        <w:rPr>
          <w:rFonts w:ascii="Arial" w:hAnsi="Arial" w:cs="Arial"/>
        </w:rPr>
        <w:t xml:space="preserve">. No explanation has been provided for the </w:t>
      </w:r>
      <w:r w:rsidR="00A42968">
        <w:rPr>
          <w:rFonts w:ascii="Arial" w:hAnsi="Arial" w:cs="Arial"/>
        </w:rPr>
        <w:t xml:space="preserve">significant increase in the penalty. </w:t>
      </w:r>
      <w:r w:rsidR="00B05539">
        <w:rPr>
          <w:rFonts w:ascii="Arial" w:hAnsi="Arial" w:cs="Arial"/>
        </w:rPr>
        <w:t xml:space="preserve"> </w:t>
      </w:r>
      <w:r w:rsidR="00B05539">
        <w:rPr>
          <w:rFonts w:ascii="Arial" w:hAnsi="Arial" w:cs="Arial"/>
        </w:rPr>
        <w:br/>
      </w:r>
    </w:p>
    <w:p w14:paraId="196420EC" w14:textId="2C059209" w:rsidR="00B05539" w:rsidRPr="00B05539" w:rsidRDefault="00B05539" w:rsidP="00740748">
      <w:pPr>
        <w:pStyle w:val="ListParagraph"/>
        <w:numPr>
          <w:ilvl w:val="0"/>
          <w:numId w:val="5"/>
        </w:numPr>
        <w:spacing w:line="360" w:lineRule="auto"/>
        <w:rPr>
          <w:rFonts w:ascii="Arial" w:hAnsi="Arial" w:cs="Arial"/>
        </w:rPr>
      </w:pPr>
      <w:r>
        <w:rPr>
          <w:rFonts w:ascii="Arial" w:hAnsi="Arial" w:cs="Arial"/>
        </w:rPr>
        <w:t xml:space="preserve">The ability for the court to appoint administrators to a union and set elections undermines the ability for unions to run as democratic and independent organisations. The threshold for allowing </w:t>
      </w:r>
      <w:r w:rsidR="00145B4F">
        <w:rPr>
          <w:rFonts w:ascii="Arial" w:hAnsi="Arial" w:cs="Arial"/>
        </w:rPr>
        <w:t>administrators</w:t>
      </w:r>
      <w:r>
        <w:rPr>
          <w:rFonts w:ascii="Arial" w:hAnsi="Arial" w:cs="Arial"/>
        </w:rPr>
        <w:t xml:space="preserve"> to take over the running of the union is far</w:t>
      </w:r>
      <w:r w:rsidR="00145B4F">
        <w:rPr>
          <w:rFonts w:ascii="Arial" w:hAnsi="Arial" w:cs="Arial"/>
        </w:rPr>
        <w:t xml:space="preserve"> too low. </w:t>
      </w:r>
    </w:p>
    <w:p w14:paraId="4419F990" w14:textId="77777777" w:rsidR="00B212C6" w:rsidRPr="0040093E" w:rsidRDefault="00B212C6" w:rsidP="00D76A7B">
      <w:pPr>
        <w:spacing w:line="360" w:lineRule="auto"/>
        <w:rPr>
          <w:rFonts w:ascii="Arial" w:hAnsi="Arial" w:cs="Arial"/>
          <w:u w:val="single"/>
        </w:rPr>
      </w:pPr>
      <w:r w:rsidRPr="0040093E">
        <w:rPr>
          <w:rFonts w:ascii="Arial" w:hAnsi="Arial" w:cs="Arial"/>
          <w:u w:val="single"/>
        </w:rPr>
        <w:t>Retrospective</w:t>
      </w:r>
    </w:p>
    <w:p w14:paraId="64E2CD64" w14:textId="071F5EF0" w:rsidR="0012542F" w:rsidRPr="00B05539" w:rsidRDefault="0040093E" w:rsidP="00D76A7B">
      <w:pPr>
        <w:pStyle w:val="ListParagraph"/>
        <w:numPr>
          <w:ilvl w:val="0"/>
          <w:numId w:val="5"/>
        </w:numPr>
        <w:spacing w:line="360" w:lineRule="auto"/>
        <w:rPr>
          <w:rFonts w:ascii="Arial" w:hAnsi="Arial" w:cs="Arial"/>
        </w:rPr>
      </w:pPr>
      <w:r>
        <w:rPr>
          <w:rFonts w:ascii="Arial" w:hAnsi="Arial" w:cs="Arial"/>
        </w:rPr>
        <w:t>There is no time limit placed on Schedule Three. When considering a declaration, the Court is free to consider actions which took place prior to the commencement of the Bill. This raises serious concerns about how the Bill could be used by employers and political opponents to threaten and undermine the work of unions.</w:t>
      </w:r>
    </w:p>
    <w:p w14:paraId="2C7C06E9" w14:textId="77777777" w:rsidR="00A42968" w:rsidRDefault="00A42968" w:rsidP="00D76A7B">
      <w:pPr>
        <w:spacing w:line="360" w:lineRule="auto"/>
        <w:rPr>
          <w:rFonts w:ascii="Arial" w:hAnsi="Arial" w:cs="Arial"/>
          <w:b/>
          <w:sz w:val="32"/>
          <w:szCs w:val="32"/>
        </w:rPr>
      </w:pPr>
    </w:p>
    <w:p w14:paraId="09B82AAF" w14:textId="1119F942" w:rsidR="00B212C6" w:rsidRPr="00DD252E" w:rsidRDefault="00B212C6" w:rsidP="00D76A7B">
      <w:pPr>
        <w:spacing w:line="360" w:lineRule="auto"/>
        <w:rPr>
          <w:rFonts w:ascii="Arial" w:hAnsi="Arial" w:cs="Arial"/>
          <w:b/>
          <w:sz w:val="32"/>
          <w:szCs w:val="32"/>
        </w:rPr>
      </w:pPr>
      <w:r w:rsidRPr="00DD252E">
        <w:rPr>
          <w:rFonts w:ascii="Arial" w:hAnsi="Arial" w:cs="Arial"/>
          <w:b/>
          <w:sz w:val="32"/>
          <w:szCs w:val="32"/>
        </w:rPr>
        <w:lastRenderedPageBreak/>
        <w:t>Schedule Four – Amalgamations</w:t>
      </w:r>
    </w:p>
    <w:p w14:paraId="794A3D6F" w14:textId="5E34B879" w:rsidR="0080089A" w:rsidRDefault="0080089A" w:rsidP="0080089A">
      <w:pPr>
        <w:pStyle w:val="ListParagraph"/>
        <w:numPr>
          <w:ilvl w:val="0"/>
          <w:numId w:val="5"/>
        </w:numPr>
        <w:spacing w:line="360" w:lineRule="auto"/>
        <w:rPr>
          <w:rFonts w:ascii="Arial" w:hAnsi="Arial" w:cs="Arial"/>
        </w:rPr>
      </w:pPr>
      <w:r>
        <w:rPr>
          <w:rFonts w:ascii="Arial" w:hAnsi="Arial" w:cs="Arial"/>
        </w:rPr>
        <w:t xml:space="preserve">Schedule Four of the Bill places additional restrictions on the amalgamation of unions, requiring them to meet a public interest test. </w:t>
      </w:r>
      <w:r w:rsidR="008E1E19">
        <w:rPr>
          <w:rFonts w:ascii="Arial" w:hAnsi="Arial" w:cs="Arial"/>
        </w:rPr>
        <w:t xml:space="preserve">This test requires the Full Bench of the Fair Work Commission to consider the unions’ record of compliance with the law. Additionally, the Commission must </w:t>
      </w:r>
      <w:proofErr w:type="gramStart"/>
      <w:r w:rsidR="008E1E19">
        <w:rPr>
          <w:rFonts w:ascii="Arial" w:hAnsi="Arial" w:cs="Arial"/>
        </w:rPr>
        <w:t>take into account</w:t>
      </w:r>
      <w:proofErr w:type="gramEnd"/>
      <w:r w:rsidR="008E1E19">
        <w:rPr>
          <w:rFonts w:ascii="Arial" w:hAnsi="Arial" w:cs="Arial"/>
        </w:rPr>
        <w:t xml:space="preserve"> the impact the amalgamation will have on employers in the industry. </w:t>
      </w:r>
      <w:r>
        <w:rPr>
          <w:rFonts w:ascii="Arial" w:hAnsi="Arial" w:cs="Arial"/>
        </w:rPr>
        <w:t>If the Fair Work Commission determines the amalgamation does not meet this test, the amalgamation cannot continue, regardless o</w:t>
      </w:r>
      <w:r w:rsidR="00DD252E">
        <w:rPr>
          <w:rFonts w:ascii="Arial" w:hAnsi="Arial" w:cs="Arial"/>
        </w:rPr>
        <w:t>f the results of the membership ballot.</w:t>
      </w:r>
      <w:r w:rsidR="008E1E19">
        <w:rPr>
          <w:rFonts w:ascii="Arial" w:hAnsi="Arial" w:cs="Arial"/>
        </w:rPr>
        <w:br/>
      </w:r>
    </w:p>
    <w:p w14:paraId="065B3588" w14:textId="5A860469" w:rsidR="0080089A" w:rsidRPr="008E1E19" w:rsidRDefault="0080089A" w:rsidP="008E1E19">
      <w:pPr>
        <w:pStyle w:val="ListParagraph"/>
        <w:numPr>
          <w:ilvl w:val="0"/>
          <w:numId w:val="5"/>
        </w:numPr>
        <w:spacing w:line="360" w:lineRule="auto"/>
        <w:rPr>
          <w:rFonts w:ascii="Arial" w:hAnsi="Arial" w:cs="Arial"/>
        </w:rPr>
      </w:pPr>
      <w:r>
        <w:rPr>
          <w:rFonts w:ascii="Arial" w:hAnsi="Arial" w:cs="Arial"/>
        </w:rPr>
        <w:t xml:space="preserve">The Bill’s amendments </w:t>
      </w:r>
      <w:r w:rsidR="008E1E19">
        <w:rPr>
          <w:rFonts w:ascii="Arial" w:hAnsi="Arial" w:cs="Arial"/>
        </w:rPr>
        <w:t>to</w:t>
      </w:r>
      <w:r>
        <w:rPr>
          <w:rFonts w:ascii="Arial" w:hAnsi="Arial" w:cs="Arial"/>
        </w:rPr>
        <w:t xml:space="preserve"> the approval</w:t>
      </w:r>
      <w:r w:rsidR="008E1E19">
        <w:rPr>
          <w:rFonts w:ascii="Arial" w:hAnsi="Arial" w:cs="Arial"/>
        </w:rPr>
        <w:t xml:space="preserve"> process</w:t>
      </w:r>
      <w:r>
        <w:rPr>
          <w:rFonts w:ascii="Arial" w:hAnsi="Arial" w:cs="Arial"/>
        </w:rPr>
        <w:t xml:space="preserve"> of amalgamations </w:t>
      </w:r>
      <w:r w:rsidR="00A608E6">
        <w:rPr>
          <w:rFonts w:ascii="Arial" w:hAnsi="Arial" w:cs="Arial"/>
        </w:rPr>
        <w:t>are</w:t>
      </w:r>
      <w:r>
        <w:rPr>
          <w:rFonts w:ascii="Arial" w:hAnsi="Arial" w:cs="Arial"/>
        </w:rPr>
        <w:t xml:space="preserve"> politically motivated</w:t>
      </w:r>
      <w:r w:rsidR="008E1E19">
        <w:rPr>
          <w:rFonts w:ascii="Arial" w:hAnsi="Arial" w:cs="Arial"/>
        </w:rPr>
        <w:t xml:space="preserve">. </w:t>
      </w:r>
      <w:r w:rsidR="008E1E19" w:rsidRPr="008E1E19">
        <w:rPr>
          <w:rFonts w:ascii="Arial" w:hAnsi="Arial" w:cs="Arial"/>
        </w:rPr>
        <w:t xml:space="preserve">There is no </w:t>
      </w:r>
      <w:r w:rsidR="00DD252E">
        <w:rPr>
          <w:rFonts w:ascii="Arial" w:hAnsi="Arial" w:cs="Arial"/>
        </w:rPr>
        <w:t>similar</w:t>
      </w:r>
      <w:r w:rsidR="008E1E19" w:rsidRPr="008E1E19">
        <w:rPr>
          <w:rFonts w:ascii="Arial" w:hAnsi="Arial" w:cs="Arial"/>
        </w:rPr>
        <w:t xml:space="preserve"> requirement for corporations to meet such a broadly int</w:t>
      </w:r>
      <w:r w:rsidR="008E1E19">
        <w:rPr>
          <w:rFonts w:ascii="Arial" w:hAnsi="Arial" w:cs="Arial"/>
        </w:rPr>
        <w:t xml:space="preserve">erpreted ‘public interest test’, which extends to a record of legal compliance. </w:t>
      </w:r>
      <w:r w:rsidRPr="008E1E19">
        <w:rPr>
          <w:rFonts w:ascii="Arial" w:hAnsi="Arial" w:cs="Arial"/>
        </w:rPr>
        <w:br/>
      </w:r>
    </w:p>
    <w:p w14:paraId="6FCEE52C" w14:textId="2391990B" w:rsidR="00A608E6" w:rsidRDefault="008E1E19" w:rsidP="0009259E">
      <w:pPr>
        <w:pStyle w:val="ListParagraph"/>
        <w:numPr>
          <w:ilvl w:val="0"/>
          <w:numId w:val="5"/>
        </w:numPr>
        <w:spacing w:line="360" w:lineRule="auto"/>
        <w:rPr>
          <w:rFonts w:ascii="Arial" w:hAnsi="Arial" w:cs="Arial"/>
        </w:rPr>
      </w:pPr>
      <w:proofErr w:type="gramStart"/>
      <w:r>
        <w:rPr>
          <w:rFonts w:ascii="Arial" w:hAnsi="Arial" w:cs="Arial"/>
        </w:rPr>
        <w:t>I</w:t>
      </w:r>
      <w:r w:rsidR="00DD252E">
        <w:rPr>
          <w:rFonts w:ascii="Arial" w:hAnsi="Arial" w:cs="Arial"/>
        </w:rPr>
        <w:t xml:space="preserve">n order </w:t>
      </w:r>
      <w:r>
        <w:rPr>
          <w:rFonts w:ascii="Arial" w:hAnsi="Arial" w:cs="Arial"/>
        </w:rPr>
        <w:t>for</w:t>
      </w:r>
      <w:proofErr w:type="gramEnd"/>
      <w:r>
        <w:rPr>
          <w:rFonts w:ascii="Arial" w:hAnsi="Arial" w:cs="Arial"/>
        </w:rPr>
        <w:t xml:space="preserve"> the Commission to allow an amalgamation, it must consider the unions’ compliance record events. This includes assessing whether a </w:t>
      </w:r>
      <w:r>
        <w:rPr>
          <w:rFonts w:ascii="Arial" w:hAnsi="Arial" w:cs="Arial"/>
          <w:i/>
        </w:rPr>
        <w:t>designated finding</w:t>
      </w:r>
      <w:r>
        <w:rPr>
          <w:rFonts w:ascii="Arial" w:hAnsi="Arial" w:cs="Arial"/>
        </w:rPr>
        <w:t xml:space="preserve"> has been made against the organisation; the organisation </w:t>
      </w:r>
      <w:r w:rsidR="00A42968">
        <w:rPr>
          <w:rFonts w:ascii="Arial" w:hAnsi="Arial" w:cs="Arial"/>
        </w:rPr>
        <w:t>has been</w:t>
      </w:r>
      <w:r>
        <w:rPr>
          <w:rFonts w:ascii="Arial" w:hAnsi="Arial" w:cs="Arial"/>
        </w:rPr>
        <w:t xml:space="preserve"> found to be in contempt of court </w:t>
      </w:r>
      <w:r w:rsidR="00A608E6">
        <w:rPr>
          <w:rFonts w:ascii="Arial" w:hAnsi="Arial" w:cs="Arial"/>
        </w:rPr>
        <w:t>in relation to a designated law</w:t>
      </w:r>
      <w:r w:rsidR="00145B4F">
        <w:rPr>
          <w:rFonts w:ascii="Arial" w:hAnsi="Arial" w:cs="Arial"/>
        </w:rPr>
        <w:t>,</w:t>
      </w:r>
      <w:r>
        <w:rPr>
          <w:rFonts w:ascii="Arial" w:hAnsi="Arial" w:cs="Arial"/>
        </w:rPr>
        <w:t xml:space="preserve"> the union</w:t>
      </w:r>
      <w:r w:rsidR="00A608E6">
        <w:rPr>
          <w:rFonts w:ascii="Arial" w:hAnsi="Arial" w:cs="Arial"/>
        </w:rPr>
        <w:t xml:space="preserve"> (or part of the union)</w:t>
      </w:r>
      <w:r>
        <w:rPr>
          <w:rFonts w:ascii="Arial" w:hAnsi="Arial" w:cs="Arial"/>
        </w:rPr>
        <w:t xml:space="preserve"> has </w:t>
      </w:r>
      <w:r w:rsidR="00A608E6">
        <w:rPr>
          <w:rFonts w:ascii="Arial" w:hAnsi="Arial" w:cs="Arial"/>
        </w:rPr>
        <w:t xml:space="preserve">organised or </w:t>
      </w:r>
      <w:r>
        <w:rPr>
          <w:rFonts w:ascii="Arial" w:hAnsi="Arial" w:cs="Arial"/>
        </w:rPr>
        <w:t>engaged in unprotected industrial action</w:t>
      </w:r>
      <w:r w:rsidR="00145B4F">
        <w:rPr>
          <w:rFonts w:ascii="Arial" w:hAnsi="Arial" w:cs="Arial"/>
        </w:rPr>
        <w:t xml:space="preserve"> or an officer is disqualified from officer while holding office</w:t>
      </w:r>
      <w:r>
        <w:rPr>
          <w:rStyle w:val="FootnoteReference"/>
          <w:rFonts w:ascii="Arial" w:hAnsi="Arial" w:cs="Arial"/>
        </w:rPr>
        <w:footnoteReference w:id="36"/>
      </w:r>
      <w:r>
        <w:rPr>
          <w:rFonts w:ascii="Arial" w:hAnsi="Arial" w:cs="Arial"/>
        </w:rPr>
        <w:t xml:space="preserve">. </w:t>
      </w:r>
      <w:r w:rsidR="00A608E6">
        <w:rPr>
          <w:rFonts w:ascii="Arial" w:hAnsi="Arial" w:cs="Arial"/>
        </w:rPr>
        <w:br/>
      </w:r>
    </w:p>
    <w:p w14:paraId="770649FD" w14:textId="6CC033AA" w:rsidR="00017E05" w:rsidRPr="0009259E" w:rsidRDefault="008E1E19" w:rsidP="0009259E">
      <w:pPr>
        <w:pStyle w:val="ListParagraph"/>
        <w:numPr>
          <w:ilvl w:val="0"/>
          <w:numId w:val="5"/>
        </w:numPr>
        <w:spacing w:line="360" w:lineRule="auto"/>
        <w:rPr>
          <w:rFonts w:ascii="Arial" w:hAnsi="Arial" w:cs="Arial"/>
        </w:rPr>
      </w:pPr>
      <w:r>
        <w:rPr>
          <w:rFonts w:ascii="Arial" w:hAnsi="Arial" w:cs="Arial"/>
        </w:rPr>
        <w:t>The events considered in a complia</w:t>
      </w:r>
      <w:r w:rsidR="00DD252E">
        <w:rPr>
          <w:rFonts w:ascii="Arial" w:hAnsi="Arial" w:cs="Arial"/>
        </w:rPr>
        <w:t>nce record are incredibly</w:t>
      </w:r>
      <w:r>
        <w:rPr>
          <w:rFonts w:ascii="Arial" w:hAnsi="Arial" w:cs="Arial"/>
        </w:rPr>
        <w:t xml:space="preserve"> broad and cover relatively minor administrative offences. </w:t>
      </w:r>
      <w:r w:rsidR="0009259E">
        <w:rPr>
          <w:rFonts w:ascii="Arial" w:hAnsi="Arial" w:cs="Arial"/>
        </w:rPr>
        <w:t>Further, the compliance record consider</w:t>
      </w:r>
      <w:r w:rsidR="00DD252E">
        <w:rPr>
          <w:rFonts w:ascii="Arial" w:hAnsi="Arial" w:cs="Arial"/>
        </w:rPr>
        <w:t>s</w:t>
      </w:r>
      <w:r w:rsidR="0009259E">
        <w:rPr>
          <w:rFonts w:ascii="Arial" w:hAnsi="Arial" w:cs="Arial"/>
        </w:rPr>
        <w:t xml:space="preserve"> events which occurred before the commencement of the Act</w:t>
      </w:r>
      <w:r w:rsidR="00145B4F">
        <w:rPr>
          <w:rStyle w:val="FootnoteReference"/>
          <w:rFonts w:ascii="Arial" w:hAnsi="Arial" w:cs="Arial"/>
        </w:rPr>
        <w:footnoteReference w:id="37"/>
      </w:r>
      <w:r w:rsidR="0009259E">
        <w:rPr>
          <w:rFonts w:ascii="Arial" w:hAnsi="Arial" w:cs="Arial"/>
        </w:rPr>
        <w:t>. The retrospective nature of the Bill places an unfair burden on unions seeking to amalgamate. These unions are being punished for actions and events, they were not aware of the consequences of at the time</w:t>
      </w:r>
      <w:r w:rsidR="00DD252E">
        <w:rPr>
          <w:rFonts w:ascii="Arial" w:hAnsi="Arial" w:cs="Arial"/>
        </w:rPr>
        <w:t xml:space="preserve"> </w:t>
      </w:r>
      <w:r w:rsidR="0012542F">
        <w:rPr>
          <w:rFonts w:ascii="Arial" w:hAnsi="Arial" w:cs="Arial"/>
        </w:rPr>
        <w:t>they</w:t>
      </w:r>
      <w:r w:rsidR="00DD252E">
        <w:rPr>
          <w:rFonts w:ascii="Arial" w:hAnsi="Arial" w:cs="Arial"/>
        </w:rPr>
        <w:t xml:space="preserve"> were committed</w:t>
      </w:r>
      <w:r w:rsidR="0009259E">
        <w:rPr>
          <w:rFonts w:ascii="Arial" w:hAnsi="Arial" w:cs="Arial"/>
        </w:rPr>
        <w:t xml:space="preserve">.  </w:t>
      </w:r>
      <w:r w:rsidRPr="0009259E">
        <w:rPr>
          <w:rFonts w:ascii="Arial" w:hAnsi="Arial" w:cs="Arial"/>
        </w:rPr>
        <w:br/>
      </w:r>
    </w:p>
    <w:p w14:paraId="74DEFCE8" w14:textId="69996E1B" w:rsidR="0080089A" w:rsidRPr="0080089A" w:rsidRDefault="00017E05" w:rsidP="00DD252E">
      <w:pPr>
        <w:pStyle w:val="ListParagraph"/>
        <w:numPr>
          <w:ilvl w:val="0"/>
          <w:numId w:val="5"/>
        </w:numPr>
        <w:spacing w:line="360" w:lineRule="auto"/>
        <w:rPr>
          <w:rFonts w:ascii="Arial" w:hAnsi="Arial" w:cs="Arial"/>
        </w:rPr>
      </w:pPr>
      <w:r>
        <w:rPr>
          <w:rFonts w:ascii="Arial" w:hAnsi="Arial" w:cs="Arial"/>
        </w:rPr>
        <w:t xml:space="preserve"> </w:t>
      </w:r>
      <w:r w:rsidR="00145B4F">
        <w:rPr>
          <w:rFonts w:ascii="Arial" w:hAnsi="Arial" w:cs="Arial"/>
        </w:rPr>
        <w:t xml:space="preserve">Prior to approving an </w:t>
      </w:r>
      <w:r w:rsidR="00CA3CE6">
        <w:rPr>
          <w:rFonts w:ascii="Arial" w:hAnsi="Arial" w:cs="Arial"/>
        </w:rPr>
        <w:t>amalgamation,</w:t>
      </w:r>
      <w:r w:rsidR="00145B4F">
        <w:rPr>
          <w:rFonts w:ascii="Arial" w:hAnsi="Arial" w:cs="Arial"/>
        </w:rPr>
        <w:t xml:space="preserve"> the </w:t>
      </w:r>
      <w:r w:rsidR="00CA3CE6">
        <w:rPr>
          <w:rFonts w:ascii="Arial" w:hAnsi="Arial" w:cs="Arial"/>
        </w:rPr>
        <w:t>Commission must also consider whether it is in the public interest, including how it impacts employers</w:t>
      </w:r>
      <w:r w:rsidR="00CA3CE6">
        <w:rPr>
          <w:rStyle w:val="FootnoteReference"/>
          <w:rFonts w:ascii="Arial" w:hAnsi="Arial" w:cs="Arial"/>
        </w:rPr>
        <w:footnoteReference w:id="38"/>
      </w:r>
      <w:r w:rsidR="00CA3CE6">
        <w:rPr>
          <w:rFonts w:ascii="Arial" w:hAnsi="Arial" w:cs="Arial"/>
        </w:rPr>
        <w:t xml:space="preserve">. </w:t>
      </w:r>
      <w:r w:rsidR="0080089A">
        <w:rPr>
          <w:rFonts w:ascii="Arial" w:hAnsi="Arial" w:cs="Arial"/>
        </w:rPr>
        <w:t>An amalgamation of</w:t>
      </w:r>
      <w:r w:rsidR="00321CD1">
        <w:rPr>
          <w:rFonts w:ascii="Arial" w:hAnsi="Arial" w:cs="Arial"/>
        </w:rPr>
        <w:t xml:space="preserve"> a union or its internal structures s</w:t>
      </w:r>
      <w:r w:rsidR="0080089A">
        <w:rPr>
          <w:rFonts w:ascii="Arial" w:hAnsi="Arial" w:cs="Arial"/>
        </w:rPr>
        <w:t>hou</w:t>
      </w:r>
      <w:r w:rsidR="00644261">
        <w:rPr>
          <w:rFonts w:ascii="Arial" w:hAnsi="Arial" w:cs="Arial"/>
        </w:rPr>
        <w:t xml:space="preserve">ld not be based on how </w:t>
      </w:r>
      <w:r w:rsidR="00A42968">
        <w:rPr>
          <w:rFonts w:ascii="Arial" w:hAnsi="Arial" w:cs="Arial"/>
        </w:rPr>
        <w:t>whether it is in the interests of employers</w:t>
      </w:r>
      <w:r w:rsidR="0080089A">
        <w:rPr>
          <w:rFonts w:ascii="Arial" w:hAnsi="Arial" w:cs="Arial"/>
        </w:rPr>
        <w:t xml:space="preserve">. </w:t>
      </w:r>
      <w:r w:rsidR="00321CD1">
        <w:rPr>
          <w:rFonts w:ascii="Arial" w:hAnsi="Arial" w:cs="Arial"/>
        </w:rPr>
        <w:t xml:space="preserve">Considering the interests of employers when deliberating </w:t>
      </w:r>
      <w:r>
        <w:rPr>
          <w:rFonts w:ascii="Arial" w:hAnsi="Arial" w:cs="Arial"/>
        </w:rPr>
        <w:t>if a union can amalgamate</w:t>
      </w:r>
      <w:r w:rsidR="00321CD1">
        <w:rPr>
          <w:rFonts w:ascii="Arial" w:hAnsi="Arial" w:cs="Arial"/>
        </w:rPr>
        <w:t xml:space="preserve"> </w:t>
      </w:r>
      <w:r>
        <w:rPr>
          <w:rFonts w:ascii="Arial" w:hAnsi="Arial" w:cs="Arial"/>
        </w:rPr>
        <w:t xml:space="preserve">restricts the free and democratic operation of unions. Further, it completely undermines the very purpose of unions, which is to represent the </w:t>
      </w:r>
      <w:r>
        <w:rPr>
          <w:rFonts w:ascii="Arial" w:hAnsi="Arial" w:cs="Arial"/>
        </w:rPr>
        <w:lastRenderedPageBreak/>
        <w:t>interests of members, which in industrial organisation</w:t>
      </w:r>
      <w:r w:rsidR="00DD252E">
        <w:rPr>
          <w:rFonts w:ascii="Arial" w:hAnsi="Arial" w:cs="Arial"/>
        </w:rPr>
        <w:t>s</w:t>
      </w:r>
      <w:r>
        <w:rPr>
          <w:rFonts w:ascii="Arial" w:hAnsi="Arial" w:cs="Arial"/>
        </w:rPr>
        <w:t xml:space="preserve"> sit in stark opposition to the interests of employers.  </w:t>
      </w:r>
      <w:r w:rsidR="0080089A">
        <w:rPr>
          <w:rFonts w:ascii="Arial" w:hAnsi="Arial" w:cs="Arial"/>
        </w:rPr>
        <w:br/>
      </w:r>
    </w:p>
    <w:p w14:paraId="77C02D3D" w14:textId="77777777" w:rsidR="00B212C6" w:rsidRPr="00DD252E" w:rsidRDefault="0040093E" w:rsidP="00BD02F1">
      <w:pPr>
        <w:spacing w:line="360" w:lineRule="auto"/>
        <w:rPr>
          <w:rFonts w:ascii="Arial" w:hAnsi="Arial" w:cs="Arial"/>
          <w:b/>
          <w:sz w:val="32"/>
          <w:szCs w:val="32"/>
        </w:rPr>
      </w:pPr>
      <w:r w:rsidRPr="00DD252E">
        <w:rPr>
          <w:rFonts w:ascii="Arial" w:hAnsi="Arial" w:cs="Arial"/>
          <w:b/>
          <w:sz w:val="32"/>
          <w:szCs w:val="32"/>
        </w:rPr>
        <w:t>Application across branches</w:t>
      </w:r>
    </w:p>
    <w:p w14:paraId="458E50DA" w14:textId="7FC0A225" w:rsidR="00CA3CE6" w:rsidRDefault="0040093E" w:rsidP="0040093E">
      <w:pPr>
        <w:pStyle w:val="ListParagraph"/>
        <w:numPr>
          <w:ilvl w:val="0"/>
          <w:numId w:val="5"/>
        </w:numPr>
        <w:spacing w:line="360" w:lineRule="auto"/>
        <w:rPr>
          <w:rFonts w:ascii="Arial" w:hAnsi="Arial" w:cs="Arial"/>
        </w:rPr>
      </w:pPr>
      <w:r w:rsidRPr="0040093E">
        <w:rPr>
          <w:rFonts w:ascii="Arial" w:hAnsi="Arial" w:cs="Arial"/>
        </w:rPr>
        <w:t>The Bill specifically defines part of an organisation to include branches of the organisation</w:t>
      </w:r>
      <w:r>
        <w:rPr>
          <w:rStyle w:val="FootnoteReference"/>
          <w:rFonts w:ascii="Arial" w:hAnsi="Arial" w:cs="Arial"/>
        </w:rPr>
        <w:footnoteReference w:id="39"/>
      </w:r>
      <w:r w:rsidRPr="0040093E">
        <w:rPr>
          <w:rFonts w:ascii="Arial" w:hAnsi="Arial" w:cs="Arial"/>
        </w:rPr>
        <w:t xml:space="preserve">. Grounds for the disqualification of officers, cancellation of registration and the placing of the organisation into administration, can all be based on the actions of a part of the union. </w:t>
      </w:r>
      <w:r w:rsidR="00DD252E">
        <w:rPr>
          <w:rFonts w:ascii="Arial" w:hAnsi="Arial" w:cs="Arial"/>
        </w:rPr>
        <w:t xml:space="preserve">If a ground is established the Court can apply orders </w:t>
      </w:r>
      <w:r w:rsidRPr="0040093E">
        <w:rPr>
          <w:rFonts w:ascii="Arial" w:hAnsi="Arial" w:cs="Arial"/>
        </w:rPr>
        <w:t xml:space="preserve">across the entire union, including separate branches. </w:t>
      </w:r>
      <w:r w:rsidR="00CA3CE6">
        <w:rPr>
          <w:rFonts w:ascii="Arial" w:hAnsi="Arial" w:cs="Arial"/>
        </w:rPr>
        <w:br/>
      </w:r>
    </w:p>
    <w:p w14:paraId="22947AE4" w14:textId="5C5E3D82" w:rsidR="0040093E" w:rsidRPr="0040093E" w:rsidRDefault="0040093E" w:rsidP="0040093E">
      <w:pPr>
        <w:pStyle w:val="ListParagraph"/>
        <w:numPr>
          <w:ilvl w:val="0"/>
          <w:numId w:val="5"/>
        </w:numPr>
        <w:spacing w:line="360" w:lineRule="auto"/>
        <w:rPr>
          <w:rFonts w:ascii="Arial" w:hAnsi="Arial" w:cs="Arial"/>
        </w:rPr>
      </w:pPr>
      <w:r w:rsidRPr="0040093E">
        <w:rPr>
          <w:rFonts w:ascii="Arial" w:hAnsi="Arial" w:cs="Arial"/>
        </w:rPr>
        <w:t xml:space="preserve">This does not </w:t>
      </w:r>
      <w:proofErr w:type="gramStart"/>
      <w:r w:rsidRPr="0040093E">
        <w:rPr>
          <w:rFonts w:ascii="Arial" w:hAnsi="Arial" w:cs="Arial"/>
        </w:rPr>
        <w:t>take into account</w:t>
      </w:r>
      <w:proofErr w:type="gramEnd"/>
      <w:r w:rsidRPr="0040093E">
        <w:rPr>
          <w:rFonts w:ascii="Arial" w:hAnsi="Arial" w:cs="Arial"/>
        </w:rPr>
        <w:t xml:space="preserve"> the structure of unions and their branches. For many unions, state branches operate autonomously from each other and from the federal union, with separate elected leadership and committees of management. For example, if a </w:t>
      </w:r>
      <w:r w:rsidRPr="0040093E">
        <w:rPr>
          <w:rFonts w:ascii="Arial" w:hAnsi="Arial" w:cs="Arial"/>
          <w:i/>
        </w:rPr>
        <w:t xml:space="preserve">designated finding </w:t>
      </w:r>
      <w:r w:rsidRPr="0040093E">
        <w:rPr>
          <w:rFonts w:ascii="Arial" w:hAnsi="Arial" w:cs="Arial"/>
        </w:rPr>
        <w:t>were to be made against a union or official from a branch in NSW, this could provide an employ</w:t>
      </w:r>
      <w:bookmarkStart w:id="0" w:name="_GoBack"/>
      <w:bookmarkEnd w:id="0"/>
      <w:r w:rsidRPr="0040093E">
        <w:rPr>
          <w:rFonts w:ascii="Arial" w:hAnsi="Arial" w:cs="Arial"/>
        </w:rPr>
        <w:t xml:space="preserve">er with the grounds to successfully make an application to intervene in the union affairs of all state branches, even if those branches were not aware </w:t>
      </w:r>
      <w:r w:rsidR="00DD252E">
        <w:rPr>
          <w:rFonts w:ascii="Arial" w:hAnsi="Arial" w:cs="Arial"/>
        </w:rPr>
        <w:t xml:space="preserve">of </w:t>
      </w:r>
      <w:r w:rsidRPr="0040093E">
        <w:rPr>
          <w:rFonts w:ascii="Arial" w:hAnsi="Arial" w:cs="Arial"/>
        </w:rPr>
        <w:t xml:space="preserve">or had no involvement in the actions of the NSW branch.  </w:t>
      </w:r>
    </w:p>
    <w:p w14:paraId="5C413B9E" w14:textId="330DDFE6" w:rsidR="0009259E" w:rsidRPr="00DD252E" w:rsidRDefault="00DD252E" w:rsidP="0009259E">
      <w:pPr>
        <w:spacing w:line="360" w:lineRule="auto"/>
        <w:rPr>
          <w:rFonts w:ascii="Arial" w:hAnsi="Arial" w:cs="Arial"/>
          <w:b/>
          <w:sz w:val="32"/>
          <w:szCs w:val="32"/>
        </w:rPr>
      </w:pPr>
      <w:r w:rsidRPr="00DD252E">
        <w:rPr>
          <w:rFonts w:ascii="Arial" w:hAnsi="Arial" w:cs="Arial"/>
          <w:b/>
          <w:sz w:val="32"/>
          <w:szCs w:val="32"/>
        </w:rPr>
        <w:t>Conclusion</w:t>
      </w:r>
    </w:p>
    <w:p w14:paraId="353B4EE0" w14:textId="6517E630" w:rsidR="0040093E" w:rsidRPr="0009259E" w:rsidRDefault="0009259E" w:rsidP="0009259E">
      <w:pPr>
        <w:pStyle w:val="ListParagraph"/>
        <w:numPr>
          <w:ilvl w:val="0"/>
          <w:numId w:val="5"/>
        </w:numPr>
        <w:spacing w:line="360" w:lineRule="auto"/>
        <w:rPr>
          <w:rFonts w:ascii="Arial" w:hAnsi="Arial" w:cs="Arial"/>
        </w:rPr>
      </w:pPr>
      <w:r>
        <w:rPr>
          <w:rFonts w:ascii="Arial" w:hAnsi="Arial" w:cs="Arial"/>
        </w:rPr>
        <w:t xml:space="preserve">The </w:t>
      </w:r>
      <w:r w:rsidRPr="00CA3CE6">
        <w:rPr>
          <w:rFonts w:ascii="Arial" w:hAnsi="Arial" w:cs="Arial"/>
        </w:rPr>
        <w:t xml:space="preserve">Ensuring Integrity Amendment Bill </w:t>
      </w:r>
      <w:r w:rsidR="00CA3CE6" w:rsidRPr="00CA3CE6">
        <w:rPr>
          <w:rFonts w:ascii="Arial" w:hAnsi="Arial" w:cs="Arial"/>
        </w:rPr>
        <w:t>2019</w:t>
      </w:r>
      <w:r w:rsidR="00CA3CE6">
        <w:rPr>
          <w:rFonts w:ascii="Arial" w:hAnsi="Arial" w:cs="Arial"/>
        </w:rPr>
        <w:t xml:space="preserve"> </w:t>
      </w:r>
      <w:r>
        <w:rPr>
          <w:rFonts w:ascii="Arial" w:hAnsi="Arial" w:cs="Arial"/>
        </w:rPr>
        <w:t>is dangerous. It places increased and unchecked powers in the hands of employers and political opponents of unions to unnecessarily interfere with the</w:t>
      </w:r>
      <w:r w:rsidR="00DD252E">
        <w:rPr>
          <w:rFonts w:ascii="Arial" w:hAnsi="Arial" w:cs="Arial"/>
        </w:rPr>
        <w:t xml:space="preserve"> </w:t>
      </w:r>
      <w:r>
        <w:rPr>
          <w:rFonts w:ascii="Arial" w:hAnsi="Arial" w:cs="Arial"/>
        </w:rPr>
        <w:t>work of unions. The increased re</w:t>
      </w:r>
      <w:r w:rsidR="00DD252E">
        <w:rPr>
          <w:rFonts w:ascii="Arial" w:hAnsi="Arial" w:cs="Arial"/>
        </w:rPr>
        <w:t>strictions</w:t>
      </w:r>
      <w:r>
        <w:rPr>
          <w:rFonts w:ascii="Arial" w:hAnsi="Arial" w:cs="Arial"/>
        </w:rPr>
        <w:t xml:space="preserve"> this Bill places on the operation and work of unions is unjustified and is politically motivated. Unions NSW recommends the Parliament vote against the introduction of this Legislation.   </w:t>
      </w:r>
    </w:p>
    <w:p w14:paraId="3F4DBD3E" w14:textId="77777777" w:rsidR="0040093E" w:rsidRDefault="0040093E" w:rsidP="00BD02F1">
      <w:pPr>
        <w:spacing w:line="360" w:lineRule="auto"/>
        <w:rPr>
          <w:rFonts w:ascii="Arial" w:hAnsi="Arial" w:cs="Arial"/>
        </w:rPr>
      </w:pPr>
    </w:p>
    <w:p w14:paraId="2461D382" w14:textId="77777777" w:rsidR="00CD301A" w:rsidRPr="00D76A7B" w:rsidRDefault="00CD301A" w:rsidP="00D76A7B">
      <w:pPr>
        <w:spacing w:line="360" w:lineRule="auto"/>
        <w:rPr>
          <w:rFonts w:ascii="Arial" w:hAnsi="Arial" w:cs="Arial"/>
        </w:rPr>
      </w:pPr>
    </w:p>
    <w:sectPr w:rsidR="00CD301A" w:rsidRPr="00D76A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B45A" w14:textId="77777777" w:rsidR="00BF72A5" w:rsidRDefault="00BF72A5" w:rsidP="00081AAE">
      <w:pPr>
        <w:spacing w:after="0" w:line="240" w:lineRule="auto"/>
      </w:pPr>
      <w:r>
        <w:separator/>
      </w:r>
    </w:p>
  </w:endnote>
  <w:endnote w:type="continuationSeparator" w:id="0">
    <w:p w14:paraId="1A4129B1" w14:textId="77777777" w:rsidR="00BF72A5" w:rsidRDefault="00BF72A5" w:rsidP="0008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7EA8" w14:textId="77777777" w:rsidR="00BF72A5" w:rsidRDefault="00BF72A5" w:rsidP="00922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2B9B0" w14:textId="77777777" w:rsidR="00BF72A5" w:rsidRDefault="00BF72A5" w:rsidP="00922D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26F5" w14:textId="77777777" w:rsidR="00BF72A5" w:rsidRDefault="00BF72A5" w:rsidP="00922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56400C" w14:textId="77777777" w:rsidR="00BF72A5" w:rsidRDefault="00BF72A5" w:rsidP="00922DF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125E" w14:textId="77777777" w:rsidR="00A600D8" w:rsidRDefault="00A6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3EC1" w14:textId="77777777" w:rsidR="00BF72A5" w:rsidRDefault="00BF72A5" w:rsidP="00081AAE">
      <w:pPr>
        <w:spacing w:after="0" w:line="240" w:lineRule="auto"/>
      </w:pPr>
      <w:r>
        <w:separator/>
      </w:r>
    </w:p>
  </w:footnote>
  <w:footnote w:type="continuationSeparator" w:id="0">
    <w:p w14:paraId="25E800CD" w14:textId="77777777" w:rsidR="00BF72A5" w:rsidRDefault="00BF72A5" w:rsidP="00081AAE">
      <w:pPr>
        <w:spacing w:after="0" w:line="240" w:lineRule="auto"/>
      </w:pPr>
      <w:r>
        <w:continuationSeparator/>
      </w:r>
    </w:p>
  </w:footnote>
  <w:footnote w:id="1">
    <w:p w14:paraId="0CAA54A2" w14:textId="0B16F518" w:rsidR="00BF72A5" w:rsidRDefault="00BF72A5">
      <w:pPr>
        <w:pStyle w:val="FootnoteText"/>
      </w:pPr>
      <w:r>
        <w:rPr>
          <w:rStyle w:val="FootnoteReference"/>
        </w:rPr>
        <w:footnoteRef/>
      </w:r>
      <w:r>
        <w:t xml:space="preserve"> References to legislation refer to the Fair Work (Registered Organisation) Amendment (Ensuring Integrity) Bill 2019, unless stated otherwise. </w:t>
      </w:r>
    </w:p>
  </w:footnote>
  <w:footnote w:id="2">
    <w:p w14:paraId="18C6E063" w14:textId="6C4D3F77" w:rsidR="00BF72A5" w:rsidRDefault="00BF72A5">
      <w:pPr>
        <w:pStyle w:val="FootnoteText"/>
      </w:pPr>
      <w:r>
        <w:rPr>
          <w:rStyle w:val="FootnoteReference"/>
        </w:rPr>
        <w:footnoteRef/>
      </w:r>
      <w:r>
        <w:t xml:space="preserve"> Sch 1, item 9, proposed s 221-223</w:t>
      </w:r>
    </w:p>
  </w:footnote>
  <w:footnote w:id="3">
    <w:p w14:paraId="39F944E7" w14:textId="77777777" w:rsidR="00CB2B1F" w:rsidRDefault="00CB2B1F" w:rsidP="00CB2B1F">
      <w:pPr>
        <w:pStyle w:val="FootnoteText"/>
      </w:pPr>
      <w:r>
        <w:rPr>
          <w:rStyle w:val="FootnoteReference"/>
        </w:rPr>
        <w:footnoteRef/>
      </w:r>
      <w:r>
        <w:t xml:space="preserve"> Sch 1, item 6, proposed s 212(aa)</w:t>
      </w:r>
    </w:p>
  </w:footnote>
  <w:footnote w:id="4">
    <w:p w14:paraId="209AF86E" w14:textId="6A88A7CC" w:rsidR="00BF72A5" w:rsidRDefault="00BF72A5" w:rsidP="0036667E">
      <w:pPr>
        <w:pStyle w:val="FootnoteText"/>
      </w:pPr>
      <w:r>
        <w:rPr>
          <w:rStyle w:val="FootnoteReference"/>
        </w:rPr>
        <w:footnoteRef/>
      </w:r>
      <w:r>
        <w:t xml:space="preserve"> Sch 1, item 2, proposed s 9</w:t>
      </w:r>
      <w:proofErr w:type="gramStart"/>
      <w:r>
        <w:t>C(</w:t>
      </w:r>
      <w:proofErr w:type="gramEnd"/>
      <w:r>
        <w:t>1)</w:t>
      </w:r>
    </w:p>
  </w:footnote>
  <w:footnote w:id="5">
    <w:p w14:paraId="74394BDB" w14:textId="101B5B2C" w:rsidR="00BF72A5" w:rsidRDefault="00BF72A5" w:rsidP="007541CD">
      <w:pPr>
        <w:pStyle w:val="FootnoteText"/>
      </w:pPr>
      <w:r>
        <w:rPr>
          <w:rStyle w:val="FootnoteReference"/>
        </w:rPr>
        <w:footnoteRef/>
      </w:r>
      <w:r>
        <w:t xml:space="preserve"> Definition: Sch 1, item 2, proposed s 9</w:t>
      </w:r>
      <w:proofErr w:type="gramStart"/>
      <w:r>
        <w:t>C(</w:t>
      </w:r>
      <w:proofErr w:type="gramEnd"/>
      <w:r>
        <w:t xml:space="preserve">1); </w:t>
      </w:r>
      <w:r>
        <w:br/>
        <w:t xml:space="preserve">   Disqualification:  Sch 1, item 2, proposed s 223(1-3); </w:t>
      </w:r>
      <w:r>
        <w:br/>
        <w:t xml:space="preserve">   Cancellation of registration: Sch 2, item 4, proposed s 28E;</w:t>
      </w:r>
      <w:r>
        <w:br/>
        <w:t xml:space="preserve">   Amalgamation: Sch 4, item 7, proposed s 72E</w:t>
      </w:r>
    </w:p>
  </w:footnote>
  <w:footnote w:id="6">
    <w:p w14:paraId="551FFDBA" w14:textId="04856AA6" w:rsidR="00BF72A5" w:rsidRDefault="00BF72A5" w:rsidP="007541CD">
      <w:pPr>
        <w:pStyle w:val="FootnoteText"/>
      </w:pPr>
      <w:r>
        <w:rPr>
          <w:rStyle w:val="FootnoteReference"/>
        </w:rPr>
        <w:footnoteRef/>
      </w:r>
      <w:r>
        <w:t xml:space="preserve"> </w:t>
      </w:r>
      <w:r w:rsidRPr="00D90D95">
        <w:rPr>
          <w:i/>
        </w:rPr>
        <w:t>Fair Work Act</w:t>
      </w:r>
      <w:r>
        <w:t xml:space="preserve">, s 517(1) </w:t>
      </w:r>
    </w:p>
  </w:footnote>
  <w:footnote w:id="7">
    <w:p w14:paraId="4755BB6F" w14:textId="6BC46B4D" w:rsidR="00BF72A5" w:rsidRDefault="00BF72A5" w:rsidP="007541CD">
      <w:pPr>
        <w:pStyle w:val="FootnoteText"/>
      </w:pPr>
      <w:r>
        <w:rPr>
          <w:rStyle w:val="FootnoteReference"/>
        </w:rPr>
        <w:footnoteRef/>
      </w:r>
      <w:r>
        <w:t xml:space="preserve"> Sch 1, item 9, proposed s 223(1)(a)</w:t>
      </w:r>
    </w:p>
  </w:footnote>
  <w:footnote w:id="8">
    <w:p w14:paraId="3F047C9F" w14:textId="75F24EC2" w:rsidR="00BF72A5" w:rsidRDefault="00BF72A5" w:rsidP="007541CD">
      <w:pPr>
        <w:pStyle w:val="FootnoteText"/>
      </w:pPr>
      <w:r>
        <w:rPr>
          <w:rStyle w:val="FootnoteReference"/>
        </w:rPr>
        <w:footnoteRef/>
      </w:r>
      <w:r>
        <w:t xml:space="preserve"> Sch 2, item 4, proposed s 28E</w:t>
      </w:r>
    </w:p>
  </w:footnote>
  <w:footnote w:id="9">
    <w:p w14:paraId="2A2DBDCC" w14:textId="228C2849" w:rsidR="00BF72A5" w:rsidRDefault="00BF72A5">
      <w:pPr>
        <w:pStyle w:val="FootnoteText"/>
      </w:pPr>
      <w:r>
        <w:rPr>
          <w:rStyle w:val="FootnoteReference"/>
        </w:rPr>
        <w:footnoteRef/>
      </w:r>
      <w:r>
        <w:t xml:space="preserve"> </w:t>
      </w:r>
      <w:r w:rsidRPr="00D90D95">
        <w:rPr>
          <w:i/>
        </w:rPr>
        <w:t>Registered Organisations Act</w:t>
      </w:r>
      <w:r>
        <w:t>, s 268</w:t>
      </w:r>
    </w:p>
  </w:footnote>
  <w:footnote w:id="10">
    <w:p w14:paraId="37D71360" w14:textId="2B62D3D6" w:rsidR="00BF72A5" w:rsidRDefault="00BF72A5">
      <w:pPr>
        <w:pStyle w:val="FootnoteText"/>
      </w:pPr>
      <w:r>
        <w:rPr>
          <w:rStyle w:val="FootnoteReference"/>
        </w:rPr>
        <w:footnoteRef/>
      </w:r>
      <w:r>
        <w:t xml:space="preserve"> Sch 4, item 7, proposed s 72E</w:t>
      </w:r>
    </w:p>
  </w:footnote>
  <w:footnote w:id="11">
    <w:p w14:paraId="510F22AA" w14:textId="70B76C60" w:rsidR="00BF72A5" w:rsidRDefault="00BF72A5">
      <w:pPr>
        <w:pStyle w:val="FootnoteText"/>
      </w:pPr>
      <w:r>
        <w:rPr>
          <w:rStyle w:val="FootnoteReference"/>
        </w:rPr>
        <w:footnoteRef/>
      </w:r>
      <w:r>
        <w:t xml:space="preserve"> Sch 1, item 11, proposed s 223(6)</w:t>
      </w:r>
    </w:p>
  </w:footnote>
  <w:footnote w:id="12">
    <w:p w14:paraId="4CB1B6F6" w14:textId="09589655" w:rsidR="00BF72A5" w:rsidRDefault="00BF72A5">
      <w:pPr>
        <w:pStyle w:val="FootnoteText"/>
      </w:pPr>
      <w:r>
        <w:rPr>
          <w:rStyle w:val="FootnoteReference"/>
        </w:rPr>
        <w:footnoteRef/>
      </w:r>
      <w:r>
        <w:t xml:space="preserve"> Sch 1, item 11, proposed s 222(2)(b)(iii)</w:t>
      </w:r>
    </w:p>
  </w:footnote>
  <w:footnote w:id="13">
    <w:p w14:paraId="58C4E816" w14:textId="63F592AE" w:rsidR="00BF72A5" w:rsidRDefault="00BF72A5">
      <w:pPr>
        <w:pStyle w:val="FootnoteText"/>
      </w:pPr>
      <w:r>
        <w:rPr>
          <w:rStyle w:val="FootnoteReference"/>
        </w:rPr>
        <w:footnoteRef/>
      </w:r>
      <w:r>
        <w:t xml:space="preserve"> Sch 1, item 11, proposed s 226</w:t>
      </w:r>
    </w:p>
  </w:footnote>
  <w:footnote w:id="14">
    <w:p w14:paraId="15088357" w14:textId="33F60319" w:rsidR="00BF72A5" w:rsidRDefault="00BF72A5">
      <w:pPr>
        <w:pStyle w:val="FootnoteText"/>
      </w:pPr>
      <w:r>
        <w:rPr>
          <w:rStyle w:val="FootnoteReference"/>
        </w:rPr>
        <w:footnoteRef/>
      </w:r>
      <w:r>
        <w:t xml:space="preserve"> Sch 1, item 11, proposed s 226(3)(b)(</w:t>
      </w:r>
      <w:proofErr w:type="spellStart"/>
      <w:r>
        <w:t>i</w:t>
      </w:r>
      <w:proofErr w:type="spellEnd"/>
      <w:r>
        <w:t>)</w:t>
      </w:r>
    </w:p>
  </w:footnote>
  <w:footnote w:id="15">
    <w:p w14:paraId="02A350F0" w14:textId="0B2A8169" w:rsidR="00BF72A5" w:rsidRDefault="00BF72A5">
      <w:pPr>
        <w:pStyle w:val="FootnoteText"/>
      </w:pPr>
      <w:r>
        <w:rPr>
          <w:rStyle w:val="FootnoteReference"/>
        </w:rPr>
        <w:footnoteRef/>
      </w:r>
      <w:r>
        <w:t xml:space="preserve"> Sch 1, item 11, proposed s 226(3)(b)(ii)</w:t>
      </w:r>
    </w:p>
  </w:footnote>
  <w:footnote w:id="16">
    <w:p w14:paraId="4E64C0BB" w14:textId="0F50EA7D" w:rsidR="00BF72A5" w:rsidRDefault="00BF72A5">
      <w:pPr>
        <w:pStyle w:val="FootnoteText"/>
      </w:pPr>
      <w:r>
        <w:rPr>
          <w:rStyle w:val="FootnoteReference"/>
        </w:rPr>
        <w:footnoteRef/>
      </w:r>
      <w:r>
        <w:t xml:space="preserve"> Sch 1, item 11, proposed s 222(2)(b)</w:t>
      </w:r>
    </w:p>
  </w:footnote>
  <w:footnote w:id="17">
    <w:p w14:paraId="0A42B2F6" w14:textId="64CA74F4" w:rsidR="00BF72A5" w:rsidRDefault="00BF72A5">
      <w:pPr>
        <w:pStyle w:val="FootnoteText"/>
      </w:pPr>
      <w:r>
        <w:rPr>
          <w:rStyle w:val="FootnoteReference"/>
        </w:rPr>
        <w:footnoteRef/>
      </w:r>
      <w:r>
        <w:t xml:space="preserve"> Registered Organisations Act, s 307A</w:t>
      </w:r>
    </w:p>
  </w:footnote>
  <w:footnote w:id="18">
    <w:p w14:paraId="3BD8367F" w14:textId="6C626B05" w:rsidR="00BF72A5" w:rsidRDefault="00BF72A5">
      <w:pPr>
        <w:pStyle w:val="FootnoteText"/>
      </w:pPr>
      <w:r>
        <w:rPr>
          <w:rStyle w:val="FootnoteReference"/>
        </w:rPr>
        <w:footnoteRef/>
      </w:r>
      <w:r>
        <w:t xml:space="preserve"> Sch 1, item 11, proposed s 222(1)</w:t>
      </w:r>
    </w:p>
  </w:footnote>
  <w:footnote w:id="19">
    <w:p w14:paraId="0B64AECD" w14:textId="0BDAD282" w:rsidR="00BF72A5" w:rsidRDefault="00BF72A5">
      <w:pPr>
        <w:pStyle w:val="FootnoteText"/>
      </w:pPr>
      <w:r>
        <w:rPr>
          <w:rStyle w:val="FootnoteReference"/>
        </w:rPr>
        <w:footnoteRef/>
      </w:r>
      <w:r>
        <w:t xml:space="preserve"> Registered Organisations Act, s 9</w:t>
      </w:r>
    </w:p>
  </w:footnote>
  <w:footnote w:id="20">
    <w:p w14:paraId="13891947" w14:textId="1B7172E4" w:rsidR="00BF72A5" w:rsidRDefault="00BF72A5">
      <w:pPr>
        <w:pStyle w:val="FootnoteText"/>
      </w:pPr>
      <w:r>
        <w:rPr>
          <w:rStyle w:val="FootnoteReference"/>
        </w:rPr>
        <w:footnoteRef/>
      </w:r>
      <w:r>
        <w:t xml:space="preserve"> Sch 2, item 4, proposed s 28G</w:t>
      </w:r>
    </w:p>
  </w:footnote>
  <w:footnote w:id="21">
    <w:p w14:paraId="68F167E8" w14:textId="48A2B6CF" w:rsidR="00BF72A5" w:rsidRDefault="00BF72A5">
      <w:pPr>
        <w:pStyle w:val="FootnoteText"/>
      </w:pPr>
      <w:r>
        <w:rPr>
          <w:rStyle w:val="FootnoteReference"/>
        </w:rPr>
        <w:footnoteRef/>
      </w:r>
      <w:r>
        <w:t xml:space="preserve"> Registered Organisations Act, s 28</w:t>
      </w:r>
    </w:p>
  </w:footnote>
  <w:footnote w:id="22">
    <w:p w14:paraId="34864AE6" w14:textId="52903F50" w:rsidR="00BF72A5" w:rsidRDefault="00BF72A5">
      <w:pPr>
        <w:pStyle w:val="FootnoteText"/>
      </w:pPr>
      <w:r>
        <w:rPr>
          <w:rStyle w:val="FootnoteReference"/>
        </w:rPr>
        <w:footnoteRef/>
      </w:r>
      <w:r>
        <w:t xml:space="preserve"> Sch 2, item 4, proposed s 28G</w:t>
      </w:r>
    </w:p>
  </w:footnote>
  <w:footnote w:id="23">
    <w:p w14:paraId="5694D858" w14:textId="2FF91502" w:rsidR="00BF72A5" w:rsidRDefault="00BF72A5">
      <w:pPr>
        <w:pStyle w:val="FootnoteText"/>
      </w:pPr>
      <w:r>
        <w:rPr>
          <w:rStyle w:val="FootnoteReference"/>
        </w:rPr>
        <w:footnoteRef/>
      </w:r>
      <w:r>
        <w:t xml:space="preserve"> Sch 2, item 4, proposed s 28M</w:t>
      </w:r>
    </w:p>
  </w:footnote>
  <w:footnote w:id="24">
    <w:p w14:paraId="19403AD0" w14:textId="63A3AFC9" w:rsidR="00BF72A5" w:rsidRDefault="00BF72A5">
      <w:pPr>
        <w:pStyle w:val="FootnoteText"/>
      </w:pPr>
      <w:r>
        <w:rPr>
          <w:rStyle w:val="FootnoteReference"/>
        </w:rPr>
        <w:footnoteRef/>
      </w:r>
      <w:r>
        <w:t xml:space="preserve"> Sch 2, item 4, proposed s 28P</w:t>
      </w:r>
    </w:p>
  </w:footnote>
  <w:footnote w:id="25">
    <w:p w14:paraId="667D3E20" w14:textId="7EB1F997" w:rsidR="00BF72A5" w:rsidRDefault="00BF72A5">
      <w:pPr>
        <w:pStyle w:val="FootnoteText"/>
      </w:pPr>
      <w:r>
        <w:rPr>
          <w:rStyle w:val="FootnoteReference"/>
        </w:rPr>
        <w:footnoteRef/>
      </w:r>
      <w:r>
        <w:t xml:space="preserve"> Sch 2, item 4, proposed s 28J</w:t>
      </w:r>
    </w:p>
  </w:footnote>
  <w:footnote w:id="26">
    <w:p w14:paraId="501CF622" w14:textId="7CBD8112" w:rsidR="00BF72A5" w:rsidRPr="005D6B13" w:rsidRDefault="00BF72A5">
      <w:pPr>
        <w:pStyle w:val="FootnoteText"/>
        <w:rPr>
          <w:lang w:val="en-US"/>
        </w:rPr>
      </w:pPr>
      <w:r>
        <w:rPr>
          <w:rStyle w:val="FootnoteReference"/>
        </w:rPr>
        <w:footnoteRef/>
      </w:r>
      <w:r>
        <w:t xml:space="preserve"> Sch 2, item 4, proposed </w:t>
      </w:r>
      <w:r>
        <w:rPr>
          <w:lang w:val="en-US"/>
        </w:rPr>
        <w:t>s 28J</w:t>
      </w:r>
    </w:p>
  </w:footnote>
  <w:footnote w:id="27">
    <w:p w14:paraId="021B5584" w14:textId="26E4BEE5" w:rsidR="00BF72A5" w:rsidRPr="005D6B13" w:rsidRDefault="00BF72A5">
      <w:pPr>
        <w:pStyle w:val="FootnoteText"/>
        <w:rPr>
          <w:lang w:val="en-US"/>
        </w:rPr>
      </w:pPr>
      <w:r>
        <w:rPr>
          <w:rStyle w:val="FootnoteReference"/>
        </w:rPr>
        <w:footnoteRef/>
      </w:r>
      <w:r>
        <w:t xml:space="preserve"> Sch 2, item 4, proposed </w:t>
      </w:r>
      <w:r>
        <w:rPr>
          <w:lang w:val="en-US"/>
        </w:rPr>
        <w:t>s 28J(1)(b)(iii)</w:t>
      </w:r>
    </w:p>
  </w:footnote>
  <w:footnote w:id="28">
    <w:p w14:paraId="14D11562" w14:textId="77777777" w:rsidR="00B0758C" w:rsidRDefault="00B0758C" w:rsidP="00B0758C">
      <w:pPr>
        <w:pStyle w:val="FootnoteText"/>
      </w:pPr>
      <w:r>
        <w:rPr>
          <w:rStyle w:val="FootnoteReference"/>
        </w:rPr>
        <w:footnoteRef/>
      </w:r>
      <w:r>
        <w:t xml:space="preserve"> Sch 3m item 3, proposed s 323(1)</w:t>
      </w:r>
    </w:p>
  </w:footnote>
  <w:footnote w:id="29">
    <w:p w14:paraId="10D5823D" w14:textId="1AFF2F3C" w:rsidR="00815FEC" w:rsidRDefault="00815FEC">
      <w:pPr>
        <w:pStyle w:val="FootnoteText"/>
      </w:pPr>
      <w:r>
        <w:rPr>
          <w:rStyle w:val="FootnoteReference"/>
        </w:rPr>
        <w:footnoteRef/>
      </w:r>
      <w:r>
        <w:t xml:space="preserve"> Sch 3, item 4, proposed s 323(3)</w:t>
      </w:r>
    </w:p>
  </w:footnote>
  <w:footnote w:id="30">
    <w:p w14:paraId="551465B6" w14:textId="5EED8E4B" w:rsidR="00E34DE4" w:rsidRDefault="00E34DE4">
      <w:pPr>
        <w:pStyle w:val="FootnoteText"/>
      </w:pPr>
      <w:r>
        <w:rPr>
          <w:rStyle w:val="FootnoteReference"/>
        </w:rPr>
        <w:footnoteRef/>
      </w:r>
      <w:r>
        <w:t xml:space="preserve"> </w:t>
      </w:r>
      <w:r>
        <w:t>Sch 3, item 4, proposed s 323(</w:t>
      </w:r>
      <w:r>
        <w:t>4)</w:t>
      </w:r>
    </w:p>
  </w:footnote>
  <w:footnote w:id="31">
    <w:p w14:paraId="1C6EAB66" w14:textId="0EA8F96A" w:rsidR="00B16FC9" w:rsidRDefault="00B16FC9">
      <w:pPr>
        <w:pStyle w:val="FootnoteText"/>
      </w:pPr>
      <w:r>
        <w:rPr>
          <w:rStyle w:val="FootnoteReference"/>
        </w:rPr>
        <w:footnoteRef/>
      </w:r>
      <w:r>
        <w:t xml:space="preserve"> Sch 3, item 4, proposed s 323 (4)(c)</w:t>
      </w:r>
    </w:p>
  </w:footnote>
  <w:footnote w:id="32">
    <w:p w14:paraId="309A8D3E" w14:textId="028C6138" w:rsidR="00E52821" w:rsidRDefault="00E52821">
      <w:pPr>
        <w:pStyle w:val="FootnoteText"/>
      </w:pPr>
      <w:r>
        <w:rPr>
          <w:rStyle w:val="FootnoteReference"/>
        </w:rPr>
        <w:footnoteRef/>
      </w:r>
      <w:r>
        <w:t xml:space="preserve"> Sch 3, item 4, proposed s 323A</w:t>
      </w:r>
    </w:p>
  </w:footnote>
  <w:footnote w:id="33">
    <w:p w14:paraId="513FF9BB" w14:textId="4422D1BC" w:rsidR="00E52821" w:rsidRDefault="00E52821">
      <w:pPr>
        <w:pStyle w:val="FootnoteText"/>
      </w:pPr>
      <w:r>
        <w:rPr>
          <w:rStyle w:val="FootnoteReference"/>
        </w:rPr>
        <w:footnoteRef/>
      </w:r>
      <w:r>
        <w:t xml:space="preserve"> Sch 3, item 4, proposed s 323G</w:t>
      </w:r>
    </w:p>
  </w:footnote>
  <w:footnote w:id="34">
    <w:p w14:paraId="72600DD8" w14:textId="358C9FFD" w:rsidR="00B05539" w:rsidRDefault="00B05539">
      <w:pPr>
        <w:pStyle w:val="FootnoteText"/>
      </w:pPr>
      <w:r>
        <w:rPr>
          <w:rStyle w:val="FootnoteReference"/>
        </w:rPr>
        <w:footnoteRef/>
      </w:r>
      <w:r>
        <w:t xml:space="preserve"> Sch 3, item 4, proposed s 323 </w:t>
      </w:r>
      <w:proofErr w:type="gramStart"/>
      <w:r>
        <w:t>G(</w:t>
      </w:r>
      <w:proofErr w:type="gramEnd"/>
      <w:r>
        <w:t>3)</w:t>
      </w:r>
    </w:p>
  </w:footnote>
  <w:footnote w:id="35">
    <w:p w14:paraId="4229ABB5" w14:textId="03BC1D4B" w:rsidR="00B05539" w:rsidRDefault="00B05539">
      <w:pPr>
        <w:pStyle w:val="FootnoteText"/>
      </w:pPr>
      <w:r>
        <w:rPr>
          <w:rStyle w:val="FootnoteReference"/>
        </w:rPr>
        <w:footnoteRef/>
      </w:r>
      <w:r>
        <w:t xml:space="preserve"> Fair Work (Registered Organisations) Amendment (Ensuring Integrity) Bill 2018, Sch 3, item 4, proposed s 323 G</w:t>
      </w:r>
    </w:p>
  </w:footnote>
  <w:footnote w:id="36">
    <w:p w14:paraId="24E739C2" w14:textId="48EEA5FB" w:rsidR="00BF72A5" w:rsidRDefault="00BF72A5">
      <w:pPr>
        <w:pStyle w:val="FootnoteText"/>
      </w:pPr>
      <w:r>
        <w:rPr>
          <w:rStyle w:val="FootnoteReference"/>
        </w:rPr>
        <w:footnoteRef/>
      </w:r>
      <w:r>
        <w:t xml:space="preserve"> </w:t>
      </w:r>
      <w:r w:rsidR="00145B4F">
        <w:t xml:space="preserve">Sch 4, item 7, </w:t>
      </w:r>
      <w:r>
        <w:t>s72E</w:t>
      </w:r>
    </w:p>
  </w:footnote>
  <w:footnote w:id="37">
    <w:p w14:paraId="248AFD24" w14:textId="5CE49C57" w:rsidR="00145B4F" w:rsidRDefault="00145B4F">
      <w:pPr>
        <w:pStyle w:val="FootnoteText"/>
      </w:pPr>
      <w:r>
        <w:rPr>
          <w:rStyle w:val="FootnoteReference"/>
        </w:rPr>
        <w:footnoteRef/>
      </w:r>
      <w:r>
        <w:t xml:space="preserve"> Sch 4, item 13</w:t>
      </w:r>
    </w:p>
  </w:footnote>
  <w:footnote w:id="38">
    <w:p w14:paraId="00DB298F" w14:textId="2BC190A7" w:rsidR="00CA3CE6" w:rsidRDefault="00CA3CE6">
      <w:pPr>
        <w:pStyle w:val="FootnoteText"/>
      </w:pPr>
      <w:r>
        <w:rPr>
          <w:rStyle w:val="FootnoteReference"/>
        </w:rPr>
        <w:footnoteRef/>
      </w:r>
      <w:r>
        <w:t xml:space="preserve"> Sch 4, item 7, proposed s 72</w:t>
      </w:r>
      <w:proofErr w:type="gramStart"/>
      <w:r>
        <w:t>D(</w:t>
      </w:r>
      <w:proofErr w:type="gramEnd"/>
      <w:r>
        <w:t>3)</w:t>
      </w:r>
    </w:p>
  </w:footnote>
  <w:footnote w:id="39">
    <w:p w14:paraId="06910E97" w14:textId="76DC91B5" w:rsidR="00BF72A5" w:rsidRPr="00BD1B62" w:rsidRDefault="00BF72A5" w:rsidP="0040093E">
      <w:pPr>
        <w:pStyle w:val="FootnoteText"/>
        <w:rPr>
          <w:lang w:val="en-US"/>
        </w:rPr>
      </w:pPr>
      <w:r>
        <w:rPr>
          <w:rStyle w:val="FootnoteReference"/>
        </w:rPr>
        <w:footnoteRef/>
      </w:r>
      <w:r>
        <w:t xml:space="preserve"> </w:t>
      </w:r>
      <w:r w:rsidR="00CA3CE6">
        <w:rPr>
          <w:lang w:val="en-US"/>
        </w:rPr>
        <w:t>Sch 3, item 1, proposed s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8958" w14:textId="77777777" w:rsidR="00A600D8" w:rsidRDefault="00A6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372980"/>
      <w:docPartObj>
        <w:docPartGallery w:val="Watermarks"/>
        <w:docPartUnique/>
      </w:docPartObj>
    </w:sdtPr>
    <w:sdtContent>
      <w:p w14:paraId="311EA161" w14:textId="3A2C748C" w:rsidR="00A600D8" w:rsidRDefault="00A600D8">
        <w:pPr>
          <w:pStyle w:val="Header"/>
        </w:pPr>
        <w:r>
          <w:rPr>
            <w:noProof/>
          </w:rPr>
          <w:pict w14:anchorId="0D057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CB52" w14:textId="77777777" w:rsidR="00A600D8" w:rsidRDefault="00A6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9B0"/>
    <w:multiLevelType w:val="hybridMultilevel"/>
    <w:tmpl w:val="7B8AC7D8"/>
    <w:lvl w:ilvl="0" w:tplc="7DEEB11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173CBF"/>
    <w:multiLevelType w:val="hybridMultilevel"/>
    <w:tmpl w:val="640EC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7E72E6"/>
    <w:multiLevelType w:val="hybridMultilevel"/>
    <w:tmpl w:val="863AF618"/>
    <w:lvl w:ilvl="0" w:tplc="62222AA8">
      <w:start w:val="40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671BB"/>
    <w:multiLevelType w:val="hybridMultilevel"/>
    <w:tmpl w:val="B5DAF1E0"/>
    <w:lvl w:ilvl="0" w:tplc="62222AA8">
      <w:start w:val="407"/>
      <w:numFmt w:val="bullet"/>
      <w:lvlText w:val="-"/>
      <w:lvlJc w:val="left"/>
      <w:pPr>
        <w:ind w:left="720" w:hanging="360"/>
      </w:pPr>
      <w:rPr>
        <w:rFonts w:ascii="Calibri" w:eastAsiaTheme="minorHAnsi" w:hAnsi="Calibri"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D83122"/>
    <w:multiLevelType w:val="hybridMultilevel"/>
    <w:tmpl w:val="24C85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1134F"/>
    <w:multiLevelType w:val="hybridMultilevel"/>
    <w:tmpl w:val="4A60D1CC"/>
    <w:lvl w:ilvl="0" w:tplc="5F2440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F3713E"/>
    <w:multiLevelType w:val="hybridMultilevel"/>
    <w:tmpl w:val="640EC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564552"/>
    <w:multiLevelType w:val="hybridMultilevel"/>
    <w:tmpl w:val="F5B0E57C"/>
    <w:lvl w:ilvl="0" w:tplc="7DEEB11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C70FD6"/>
    <w:multiLevelType w:val="hybridMultilevel"/>
    <w:tmpl w:val="4E66F4F2"/>
    <w:lvl w:ilvl="0" w:tplc="62222AA8">
      <w:start w:val="407"/>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8DD"/>
    <w:rsid w:val="00014240"/>
    <w:rsid w:val="00017E05"/>
    <w:rsid w:val="00034F6D"/>
    <w:rsid w:val="0005687D"/>
    <w:rsid w:val="00081AAE"/>
    <w:rsid w:val="000860EE"/>
    <w:rsid w:val="0009259E"/>
    <w:rsid w:val="000D088D"/>
    <w:rsid w:val="001231D5"/>
    <w:rsid w:val="0012542F"/>
    <w:rsid w:val="001373E1"/>
    <w:rsid w:val="00145B4F"/>
    <w:rsid w:val="00163778"/>
    <w:rsid w:val="001846E3"/>
    <w:rsid w:val="0019641F"/>
    <w:rsid w:val="001B2CD1"/>
    <w:rsid w:val="001B7DCE"/>
    <w:rsid w:val="001C1CB7"/>
    <w:rsid w:val="001E1986"/>
    <w:rsid w:val="001E7388"/>
    <w:rsid w:val="002438A8"/>
    <w:rsid w:val="0027298B"/>
    <w:rsid w:val="00272A6E"/>
    <w:rsid w:val="00273749"/>
    <w:rsid w:val="00282BBB"/>
    <w:rsid w:val="00287D65"/>
    <w:rsid w:val="0029177E"/>
    <w:rsid w:val="002A2BAE"/>
    <w:rsid w:val="002A5E70"/>
    <w:rsid w:val="002B1F47"/>
    <w:rsid w:val="002B6461"/>
    <w:rsid w:val="002F0D61"/>
    <w:rsid w:val="00321CD1"/>
    <w:rsid w:val="00335012"/>
    <w:rsid w:val="00336F4F"/>
    <w:rsid w:val="00357A6C"/>
    <w:rsid w:val="0036667E"/>
    <w:rsid w:val="00374ABC"/>
    <w:rsid w:val="003B2611"/>
    <w:rsid w:val="003D4B1B"/>
    <w:rsid w:val="003D5DA2"/>
    <w:rsid w:val="0040093E"/>
    <w:rsid w:val="00413D1D"/>
    <w:rsid w:val="00423E00"/>
    <w:rsid w:val="0044150B"/>
    <w:rsid w:val="00455B13"/>
    <w:rsid w:val="004C4646"/>
    <w:rsid w:val="00502AD5"/>
    <w:rsid w:val="005468DD"/>
    <w:rsid w:val="0056752C"/>
    <w:rsid w:val="005C1CBC"/>
    <w:rsid w:val="005D6B13"/>
    <w:rsid w:val="00614AE0"/>
    <w:rsid w:val="00631F2A"/>
    <w:rsid w:val="00640921"/>
    <w:rsid w:val="00644261"/>
    <w:rsid w:val="006664DB"/>
    <w:rsid w:val="006836E5"/>
    <w:rsid w:val="00691DFA"/>
    <w:rsid w:val="00692ED8"/>
    <w:rsid w:val="006E1B40"/>
    <w:rsid w:val="006E5955"/>
    <w:rsid w:val="00701584"/>
    <w:rsid w:val="00720E07"/>
    <w:rsid w:val="00723B07"/>
    <w:rsid w:val="00735A28"/>
    <w:rsid w:val="00740748"/>
    <w:rsid w:val="007541CD"/>
    <w:rsid w:val="007B191E"/>
    <w:rsid w:val="0080089A"/>
    <w:rsid w:val="00801FC4"/>
    <w:rsid w:val="008024FC"/>
    <w:rsid w:val="0080449B"/>
    <w:rsid w:val="00815FEC"/>
    <w:rsid w:val="008652AF"/>
    <w:rsid w:val="00896AF6"/>
    <w:rsid w:val="008B1994"/>
    <w:rsid w:val="008E1E19"/>
    <w:rsid w:val="00922DFF"/>
    <w:rsid w:val="00923B41"/>
    <w:rsid w:val="00936197"/>
    <w:rsid w:val="00940044"/>
    <w:rsid w:val="009439DA"/>
    <w:rsid w:val="009A791A"/>
    <w:rsid w:val="009B1353"/>
    <w:rsid w:val="00A27B3C"/>
    <w:rsid w:val="00A27EBE"/>
    <w:rsid w:val="00A42968"/>
    <w:rsid w:val="00A600D8"/>
    <w:rsid w:val="00A608E6"/>
    <w:rsid w:val="00A75589"/>
    <w:rsid w:val="00AA252F"/>
    <w:rsid w:val="00AA334F"/>
    <w:rsid w:val="00AF272D"/>
    <w:rsid w:val="00B05539"/>
    <w:rsid w:val="00B0758C"/>
    <w:rsid w:val="00B16FC9"/>
    <w:rsid w:val="00B212C6"/>
    <w:rsid w:val="00B63217"/>
    <w:rsid w:val="00BA128A"/>
    <w:rsid w:val="00BA3BF1"/>
    <w:rsid w:val="00BD02F1"/>
    <w:rsid w:val="00BD1B62"/>
    <w:rsid w:val="00BF72A5"/>
    <w:rsid w:val="00C73781"/>
    <w:rsid w:val="00CA0D81"/>
    <w:rsid w:val="00CA3CE6"/>
    <w:rsid w:val="00CA6F4A"/>
    <w:rsid w:val="00CB2B1F"/>
    <w:rsid w:val="00CC1FC6"/>
    <w:rsid w:val="00CD301A"/>
    <w:rsid w:val="00D037DE"/>
    <w:rsid w:val="00D1628F"/>
    <w:rsid w:val="00D20F81"/>
    <w:rsid w:val="00D31905"/>
    <w:rsid w:val="00D47EAB"/>
    <w:rsid w:val="00D7458B"/>
    <w:rsid w:val="00D76A7B"/>
    <w:rsid w:val="00D90D95"/>
    <w:rsid w:val="00DA61AF"/>
    <w:rsid w:val="00DB033D"/>
    <w:rsid w:val="00DD252E"/>
    <w:rsid w:val="00DD3060"/>
    <w:rsid w:val="00E34DE4"/>
    <w:rsid w:val="00E52821"/>
    <w:rsid w:val="00EA6562"/>
    <w:rsid w:val="00ED4410"/>
    <w:rsid w:val="00EE6734"/>
    <w:rsid w:val="00EF519D"/>
    <w:rsid w:val="00F952F6"/>
    <w:rsid w:val="00FA0D4C"/>
    <w:rsid w:val="00FA3C18"/>
    <w:rsid w:val="00FC04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2EB230D"/>
  <w15:docId w15:val="{FBE7D49B-A0D0-4605-A28B-90E2937E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DD"/>
    <w:pPr>
      <w:ind w:left="720"/>
      <w:contextualSpacing/>
    </w:pPr>
  </w:style>
  <w:style w:type="paragraph" w:styleId="BalloonText">
    <w:name w:val="Balloon Text"/>
    <w:basedOn w:val="Normal"/>
    <w:link w:val="BalloonTextChar"/>
    <w:uiPriority w:val="99"/>
    <w:semiHidden/>
    <w:unhideWhenUsed/>
    <w:rsid w:val="006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DB"/>
    <w:rPr>
      <w:rFonts w:ascii="Tahoma" w:hAnsi="Tahoma" w:cs="Tahoma"/>
      <w:sz w:val="16"/>
      <w:szCs w:val="16"/>
    </w:rPr>
  </w:style>
  <w:style w:type="paragraph" w:styleId="FootnoteText">
    <w:name w:val="footnote text"/>
    <w:basedOn w:val="Normal"/>
    <w:link w:val="FootnoteTextChar"/>
    <w:uiPriority w:val="99"/>
    <w:unhideWhenUsed/>
    <w:rsid w:val="00081AAE"/>
    <w:pPr>
      <w:spacing w:after="0" w:line="240" w:lineRule="auto"/>
    </w:pPr>
    <w:rPr>
      <w:sz w:val="20"/>
      <w:szCs w:val="20"/>
    </w:rPr>
  </w:style>
  <w:style w:type="character" w:customStyle="1" w:styleId="FootnoteTextChar">
    <w:name w:val="Footnote Text Char"/>
    <w:basedOn w:val="DefaultParagraphFont"/>
    <w:link w:val="FootnoteText"/>
    <w:uiPriority w:val="99"/>
    <w:rsid w:val="00081AAE"/>
    <w:rPr>
      <w:sz w:val="20"/>
      <w:szCs w:val="20"/>
    </w:rPr>
  </w:style>
  <w:style w:type="character" w:styleId="FootnoteReference">
    <w:name w:val="footnote reference"/>
    <w:basedOn w:val="DefaultParagraphFont"/>
    <w:uiPriority w:val="99"/>
    <w:unhideWhenUsed/>
    <w:rsid w:val="00081AAE"/>
    <w:rPr>
      <w:vertAlign w:val="superscript"/>
    </w:rPr>
  </w:style>
  <w:style w:type="paragraph" w:styleId="Footer">
    <w:name w:val="footer"/>
    <w:basedOn w:val="Normal"/>
    <w:link w:val="FooterChar"/>
    <w:uiPriority w:val="99"/>
    <w:unhideWhenUsed/>
    <w:rsid w:val="00922D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DFF"/>
  </w:style>
  <w:style w:type="character" w:styleId="PageNumber">
    <w:name w:val="page number"/>
    <w:basedOn w:val="DefaultParagraphFont"/>
    <w:uiPriority w:val="99"/>
    <w:semiHidden/>
    <w:unhideWhenUsed/>
    <w:rsid w:val="00922DFF"/>
  </w:style>
  <w:style w:type="paragraph" w:styleId="Header">
    <w:name w:val="header"/>
    <w:basedOn w:val="Normal"/>
    <w:link w:val="HeaderChar"/>
    <w:uiPriority w:val="99"/>
    <w:unhideWhenUsed/>
    <w:rsid w:val="00A60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8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6AA13F9-E482-4327-8A02-B32FD3FA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Fair Work Amendment (Registered Organisations) Amendment (Ensuring Integrity) Bill 2019</vt:lpstr>
    </vt:vector>
  </TitlesOfParts>
  <Company>Unions NSW</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Amendment (Registered Organisations) Amendment (Ensuring Integrity) Bill 2019</dc:title>
  <dc:subject>Senate Education and Employment Legislation Committee</dc:subject>
  <dc:creator>Kate Minter</dc:creator>
  <cp:keywords/>
  <dc:description/>
  <cp:lastModifiedBy>Kate Minter</cp:lastModifiedBy>
  <cp:revision>3</cp:revision>
  <cp:lastPrinted>2017-09-15T01:08:00Z</cp:lastPrinted>
  <dcterms:created xsi:type="dcterms:W3CDTF">2019-08-07T03:39:00Z</dcterms:created>
  <dcterms:modified xsi:type="dcterms:W3CDTF">2019-08-07T23:59:00Z</dcterms:modified>
</cp:coreProperties>
</file>